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6"/>
        <w:gridCol w:w="589"/>
        <w:gridCol w:w="280"/>
        <w:gridCol w:w="599"/>
        <w:gridCol w:w="160"/>
        <w:gridCol w:w="843"/>
        <w:gridCol w:w="722"/>
        <w:gridCol w:w="565"/>
        <w:gridCol w:w="715"/>
        <w:gridCol w:w="571"/>
        <w:gridCol w:w="190"/>
        <w:gridCol w:w="721"/>
        <w:gridCol w:w="912"/>
        <w:gridCol w:w="160"/>
        <w:gridCol w:w="1121"/>
        <w:gridCol w:w="159"/>
        <w:gridCol w:w="704"/>
        <w:gridCol w:w="224"/>
        <w:gridCol w:w="159"/>
        <w:gridCol w:w="1166"/>
      </w:tblGrid>
      <w:tr w:rsidR="002826F3">
        <w:trPr>
          <w:trHeight w:val="600"/>
          <w:jc w:val="center"/>
        </w:trPr>
        <w:tc>
          <w:tcPr>
            <w:tcW w:w="112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</w:rPr>
            </w:pPr>
            <w:r w:rsidRPr="007B1200">
              <w:rPr>
                <w:rFonts w:ascii="Meiryo" w:eastAsia="Meiryo" w:hAnsi="Meiryo" w:cs="Meiryo"/>
                <w:b/>
                <w:bCs/>
                <w:lang w:eastAsia="zh-TW"/>
              </w:rPr>
              <w:t xml:space="preserve">Tzu Chi University Dormitory Application Form for </w:t>
            </w:r>
            <w:r w:rsidRPr="007B1200">
              <w:rPr>
                <w:rFonts w:ascii="Meiryo" w:eastAsia="Meiryo" w:hAnsi="Meiryo" w:cs="Meiryo"/>
                <w:b/>
                <w:bCs/>
              </w:rPr>
              <w:t>International Visits/</w:t>
            </w:r>
            <w:r w:rsidRPr="007B1200">
              <w:rPr>
                <w:rFonts w:ascii="Meiryo" w:eastAsia="Meiryo" w:hAnsi="Meiryo" w:cs="Meiryo"/>
                <w:b/>
                <w:bCs/>
                <w:lang w:eastAsia="zh-TW"/>
              </w:rPr>
              <w:t>Exchange Students</w:t>
            </w:r>
            <w:r w:rsidRPr="007B1200">
              <w:rPr>
                <w:rFonts w:ascii="Meiryo" w:eastAsia="Meiryo" w:hAnsi="Meiryo" w:cs="Meiryo"/>
                <w:b/>
                <w:bCs/>
              </w:rPr>
              <w:t>/Special Case</w:t>
            </w:r>
            <w:r w:rsidRPr="007B1200">
              <w:rPr>
                <w:rFonts w:ascii="Meiryo" w:eastAsia="Meiryo" w:hAnsi="Meiryo" w:cs="Meiryo"/>
                <w:b/>
                <w:bCs/>
                <w:lang w:eastAsia="zh-TW"/>
              </w:rPr>
              <w:t>s</w:t>
            </w:r>
          </w:p>
        </w:tc>
      </w:tr>
      <w:tr w:rsidR="002826F3" w:rsidTr="007B1200">
        <w:trPr>
          <w:trHeight w:val="20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Application O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ffice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Application Date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2826F3" w:rsidTr="007B1200">
        <w:trPr>
          <w:trHeight w:val="20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Reason of Application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Person in Charge/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Tel. no.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2826F3" w:rsidTr="007B1200">
        <w:trPr>
          <w:trHeight w:val="31"/>
          <w:jc w:val="center"/>
        </w:trPr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style1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b w:val="0"/>
                <w:bCs w:val="0"/>
                <w:color w:val="000000"/>
                <w:sz w:val="18"/>
                <w:szCs w:val="18"/>
                <w:u w:color="000000"/>
                <w:lang w:eastAsia="zh-TW"/>
              </w:rPr>
              <w:t>Contact Student of Dormitory Assistance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Student ID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BF1B14" w:rsidRDefault="00BF1B14" w:rsidP="00BF1B14">
            <w:pPr>
              <w:jc w:val="center"/>
              <w:rPr>
                <w:rFonts w:ascii="Meiryo" w:hAnsi="Meiryo" w:cs="Meiryo"/>
                <w:sz w:val="18"/>
                <w:szCs w:val="18"/>
                <w:lang w:eastAsia="zh-TW"/>
              </w:rPr>
            </w:pPr>
            <w:r>
              <w:rPr>
                <w:rFonts w:ascii="Meiryo" w:hAnsi="Meiryo" w:cs="Meiryo" w:hint="eastAsia"/>
                <w:sz w:val="18"/>
                <w:szCs w:val="18"/>
                <w:lang w:eastAsia="zh-TW"/>
              </w:rPr>
              <w:t>10</w:t>
            </w:r>
            <w:r>
              <w:rPr>
                <w:rFonts w:ascii="Meiryo" w:hAnsi="Meiryo" w:cs="Meiryo"/>
                <w:sz w:val="18"/>
                <w:szCs w:val="18"/>
                <w:lang w:eastAsia="zh-TW"/>
              </w:rPr>
              <w:t>6971104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widowControl w:val="0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Tel. no.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Room no.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BF1B14" w:rsidRDefault="00BF1B14">
            <w:pPr>
              <w:rPr>
                <w:rFonts w:ascii="Meiryo" w:hAnsi="Meiryo" w:cs="Meiryo"/>
                <w:sz w:val="18"/>
                <w:szCs w:val="18"/>
                <w:lang w:eastAsia="zh-TW"/>
              </w:rPr>
            </w:pPr>
            <w:r>
              <w:rPr>
                <w:rFonts w:ascii="Meiryo" w:hAnsi="Meiryo" w:cs="Meiryo" w:hint="eastAsia"/>
                <w:sz w:val="18"/>
                <w:szCs w:val="18"/>
                <w:lang w:eastAsia="zh-TW"/>
              </w:rPr>
              <w:t>B</w:t>
            </w:r>
            <w:r>
              <w:rPr>
                <w:rFonts w:ascii="Meiryo" w:hAnsi="Meiryo" w:cs="Meiryo"/>
                <w:sz w:val="18"/>
                <w:szCs w:val="18"/>
                <w:lang w:eastAsia="zh-TW"/>
              </w:rPr>
              <w:t>221-4</w:t>
            </w:r>
          </w:p>
        </w:tc>
      </w:tr>
      <w:tr w:rsidR="002826F3" w:rsidTr="007B1200">
        <w:trPr>
          <w:trHeight w:val="190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435D51">
            <w:pPr>
              <w:pStyle w:val="style1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b w:val="0"/>
                <w:bCs w:val="0"/>
                <w:color w:val="000000"/>
                <w:sz w:val="18"/>
                <w:szCs w:val="18"/>
                <w:u w:color="000000"/>
                <w:lang w:val="zh-TW"/>
              </w:rPr>
              <w:t>D</w:t>
            </w:r>
            <w:r w:rsidRPr="007B1200">
              <w:rPr>
                <w:rFonts w:ascii="Meiryo" w:eastAsia="Meiryo" w:hAnsi="Meiryo" w:cs="Meiryo"/>
                <w:b w:val="0"/>
                <w:bCs w:val="0"/>
                <w:color w:val="000000"/>
                <w:sz w:val="18"/>
                <w:szCs w:val="18"/>
                <w:u w:color="000000"/>
                <w:lang w:val="zh-TW" w:eastAsia="zh-TW"/>
              </w:rPr>
              <w:t>escription</w:t>
            </w:r>
          </w:p>
        </w:tc>
        <w:tc>
          <w:tcPr>
            <w:tcW w:w="99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I. 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Implemented in accordance with Tzu Chi University Short-term Accomm</w:t>
            </w:r>
            <w:r w:rsidR="0070343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odation and Group Accommodation 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Dormitory Application and Management Rules.</w:t>
            </w:r>
          </w:p>
          <w:p w:rsidR="00A42777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II. 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International visits/exchange students/special cases </w:t>
            </w:r>
            <w:r w:rsidR="00A42777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have access to assistances provided by the school’s administrative units and the student dormitory, and a contact person reserved for administrative help purposes.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III.</w:t>
            </w:r>
            <w:r w:rsidR="00A42777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 Dormitory bed arrangements are assigned by the Student Life Guidance Office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。</w:t>
            </w:r>
          </w:p>
          <w:p w:rsidR="002826F3" w:rsidRPr="007B1200" w:rsidRDefault="00A42777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IV. Note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：                                            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(</w:t>
            </w:r>
            <w:r w:rsidR="00EE5370" w:rsidRPr="007B1200">
              <w:rPr>
                <w:rFonts w:ascii="Meiryo" w:eastAsia="Meiryo" w:hAnsi="Meiryo" w:cs="Meiryo" w:hint="eastAsia"/>
                <w:sz w:val="18"/>
                <w:szCs w:val="18"/>
              </w:rPr>
              <w:t>i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)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Moving In and Out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：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 1. </w:t>
            </w:r>
            <w:r w:rsidR="00EE5370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Students are required to enter and leave the dormitory according to their assigned accomodation and time, whilst complying with the dormitory regulations</w:t>
            </w:r>
            <w:r w:rsidR="00EE5370" w:rsidRPr="007B1200">
              <w:rPr>
                <w:rFonts w:ascii="Meiryo" w:eastAsia="Meiryo" w:hAnsi="Meiryo" w:cs="Meiryo" w:hint="eastAsia"/>
                <w:sz w:val="18"/>
                <w:szCs w:val="18"/>
              </w:rPr>
              <w:t>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 2. </w:t>
            </w:r>
            <w:r w:rsidR="00EE5370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The check-in time is 10 a.m. on the very day upon application; the check-out time is before 10 a.m. on the day </w:t>
            </w:r>
            <w:r w:rsidR="0070343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before the </w:t>
            </w:r>
            <w:r w:rsidR="00EE5370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application deadline. 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Keys should be returned to the Dormitory Duty R</w:t>
            </w:r>
            <w:r w:rsidR="00EE5370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oom </w:t>
            </w:r>
            <w:r w:rsidR="0070343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during check-out.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1A6F3C" w:rsidRPr="007B1200">
              <w:rPr>
                <w:rFonts w:ascii="Meiryo" w:eastAsia="Meiryo" w:hAnsi="Meiryo" w:cs="Meiryo" w:hint="eastAsia"/>
                <w:sz w:val="18"/>
                <w:szCs w:val="18"/>
              </w:rPr>
              <w:t>i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  <w:r w:rsidR="00703439" w:rsidRPr="007B1200">
              <w:rPr>
                <w:rFonts w:ascii="Meiryo" w:eastAsia="Meiryo" w:hAnsi="Meiryo" w:cs="Meiryo" w:hint="eastAsia"/>
                <w:sz w:val="18"/>
                <w:szCs w:val="18"/>
              </w:rPr>
              <w:t>D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ormitory Curfew</w:t>
            </w:r>
            <w:r w:rsidR="001A6F3C" w:rsidRPr="007B1200">
              <w:rPr>
                <w:rFonts w:ascii="Meiryo" w:eastAsia="Meiryo" w:hAnsi="Meiryo" w:cs="Meiryo" w:hint="eastAsia"/>
                <w:sz w:val="18"/>
                <w:szCs w:val="18"/>
              </w:rPr>
              <w:t>: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 </w:t>
            </w:r>
          </w:p>
          <w:p w:rsidR="00703439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1. </w:t>
            </w:r>
            <w:r w:rsidR="00703439" w:rsidRPr="007B1200">
              <w:rPr>
                <w:rFonts w:ascii="Meiryo" w:eastAsia="Meiryo" w:hAnsi="Meiryo" w:cs="Meiryo"/>
                <w:sz w:val="18"/>
                <w:szCs w:val="18"/>
              </w:rPr>
              <w:t>The dormitory entrance will be closed from 11p.m. to 6a.m. the following day.</w:t>
            </w:r>
          </w:p>
          <w:p w:rsidR="009414EA" w:rsidRPr="007B1200" w:rsidRDefault="00703439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eastAsia="zh-TW"/>
              </w:rPr>
              <w:t xml:space="preserve"> 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2.</w:t>
            </w:r>
            <w:r w:rsidR="00A91151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 </w:t>
            </w:r>
            <w:r w:rsidR="009414EA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Those who do not stay in the room between 11:00 pm and 6:00 pm the next day, should complete the application form which should receive confirmation from the administrative unit, following by </w:t>
            </w:r>
            <w:r w:rsidR="00605462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notifying the S</w:t>
            </w:r>
            <w:r w:rsidR="009414EA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tudent </w:t>
            </w:r>
            <w:r w:rsidR="00605462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Life Guidance Office</w:t>
            </w:r>
            <w:r w:rsidR="009414EA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, and should leave the dormitory before 11:00 pm.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 3. </w:t>
            </w:r>
            <w:r w:rsidR="001A6F3C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Staying off campus</w:t>
            </w:r>
            <w:r w:rsidR="00605462" w:rsidRPr="007B1200">
              <w:rPr>
                <w:rFonts w:ascii="Meiryo" w:eastAsia="Meiryo" w:hAnsi="Meiryo" w:cs="Meiryo" w:hint="eastAsia"/>
                <w:kern w:val="0"/>
                <w:sz w:val="18"/>
                <w:szCs w:val="18"/>
              </w:rPr>
              <w:t>:</w:t>
            </w:r>
            <w:r w:rsidR="00605462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 </w:t>
            </w:r>
            <w:r w:rsidR="001A6F3C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The gate will be closed at 11p.m. If there are special circumstances, students should seek approval from the Dormitory Duty Room before leaving.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1A6F3C" w:rsidRPr="007B1200">
              <w:rPr>
                <w:rFonts w:ascii="Meiryo" w:eastAsia="Meiryo" w:hAnsi="Meiryo" w:cs="Meiryo" w:hint="eastAsia"/>
                <w:sz w:val="18"/>
                <w:szCs w:val="18"/>
              </w:rPr>
              <w:t>i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ii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</w:rPr>
              <w:t xml:space="preserve">) Dormitory 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Safety: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1.</w:t>
            </w:r>
            <w:r w:rsidR="001A6F3C" w:rsidRPr="007B1200">
              <w:rPr>
                <w:rFonts w:ascii="Meiryo" w:eastAsia="Meiryo" w:hAnsi="Meiryo" w:cs="Meiryo"/>
                <w:sz w:val="18"/>
                <w:szCs w:val="18"/>
              </w:rPr>
              <w:t xml:space="preserve"> The total personal power consumption of electrical appliances in the dormitory must not exceed 250W to maintain the safety of the dormitory.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kern w:val="0"/>
                <w:sz w:val="18"/>
                <w:szCs w:val="18"/>
              </w:rPr>
              <w:t xml:space="preserve"> 2. </w:t>
            </w:r>
            <w:r w:rsidR="00A21B7D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 xml:space="preserve">Cooking is forbidden in </w:t>
            </w:r>
            <w:r w:rsidR="001A6F3C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the dormitory area other than the pantry</w:t>
            </w:r>
            <w:r w:rsidR="00A21B7D" w:rsidRPr="007B1200">
              <w:rPr>
                <w:rFonts w:ascii="Meiryo" w:eastAsia="Meiryo" w:hAnsi="Meiryo" w:cs="Meiryo" w:hint="eastAsia"/>
                <w:kern w:val="0"/>
                <w:sz w:val="18"/>
                <w:szCs w:val="18"/>
              </w:rPr>
              <w:t>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kern w:val="0"/>
                <w:sz w:val="18"/>
                <w:szCs w:val="18"/>
              </w:rPr>
              <w:t xml:space="preserve"> 3</w:t>
            </w:r>
            <w:r w:rsidR="00A21B7D" w:rsidRPr="007B1200">
              <w:rPr>
                <w:rFonts w:ascii="Meiryo" w:eastAsia="Meiryo" w:hAnsi="Meiryo" w:cs="Meiryo"/>
                <w:kern w:val="0"/>
                <w:sz w:val="18"/>
                <w:szCs w:val="18"/>
              </w:rPr>
              <w:t xml:space="preserve">. Students are not allowed to </w:t>
            </w:r>
            <w:r w:rsidR="00A21B7D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store prohibited or flammable items in the room</w:t>
            </w:r>
            <w:r w:rsidR="00A21B7D" w:rsidRPr="007B1200">
              <w:rPr>
                <w:rFonts w:ascii="Meiryo" w:eastAsia="Meiryo" w:hAnsi="Meiryo" w:cs="Meiryo" w:hint="eastAsia"/>
                <w:kern w:val="0"/>
                <w:sz w:val="18"/>
                <w:szCs w:val="18"/>
              </w:rPr>
              <w:t>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kern w:val="0"/>
                <w:sz w:val="18"/>
                <w:szCs w:val="18"/>
              </w:rPr>
              <w:t xml:space="preserve"> 4. </w:t>
            </w:r>
            <w:r w:rsidR="00A21B7D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It is forbidden to install electric heaters, refrigerators, or privately connect any power sources in the dormitory area to ensure safety</w:t>
            </w:r>
            <w:r w:rsidR="00A21B7D" w:rsidRPr="007B1200">
              <w:rPr>
                <w:rFonts w:ascii="Meiryo" w:eastAsia="Meiryo" w:hAnsi="Meiryo" w:cs="Meiryo" w:hint="eastAsia"/>
                <w:kern w:val="0"/>
                <w:sz w:val="18"/>
                <w:szCs w:val="18"/>
              </w:rPr>
              <w:t>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kern w:val="0"/>
                <w:sz w:val="18"/>
                <w:szCs w:val="18"/>
              </w:rPr>
              <w:t xml:space="preserve"> 5. </w:t>
            </w:r>
            <w:r w:rsidR="00A21B7D" w:rsidRPr="007B1200">
              <w:rPr>
                <w:rFonts w:ascii="Meiryo" w:eastAsia="Meiryo" w:hAnsi="Meiryo" w:cs="Meiryo"/>
                <w:kern w:val="0"/>
                <w:sz w:val="18"/>
                <w:szCs w:val="18"/>
                <w:lang w:eastAsia="zh-TW"/>
              </w:rPr>
              <w:t>Foreign guests, relatives, friends or classmates of the residents are not allowed to stay overnight</w:t>
            </w:r>
            <w:r w:rsidR="00A21B7D" w:rsidRPr="007B1200">
              <w:rPr>
                <w:rFonts w:ascii="Meiryo" w:eastAsia="Meiryo" w:hAnsi="Meiryo" w:cs="Meiryo" w:hint="eastAsia"/>
                <w:kern w:val="0"/>
                <w:sz w:val="18"/>
                <w:szCs w:val="18"/>
              </w:rPr>
              <w:t>.</w:t>
            </w:r>
          </w:p>
          <w:p w:rsidR="002826F3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kern w:val="0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A21B7D" w:rsidRPr="007B1200">
              <w:rPr>
                <w:rFonts w:ascii="Meiryo" w:eastAsia="Meiryo" w:hAnsi="Meiryo" w:cs="Meiryo" w:hint="eastAsia"/>
                <w:sz w:val="18"/>
                <w:szCs w:val="18"/>
              </w:rPr>
              <w:t>i</w:t>
            </w:r>
            <w:r w:rsidR="00A21B7D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v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  <w:r w:rsidR="00A21B7D" w:rsidRPr="007B1200">
              <w:rPr>
                <w:rFonts w:ascii="Meiryo" w:eastAsia="Meiryo" w:hAnsi="Meiryo" w:cs="Meiryo"/>
                <w:sz w:val="18"/>
                <w:szCs w:val="18"/>
              </w:rPr>
              <w:t xml:space="preserve"> </w:t>
            </w:r>
            <w:r w:rsidR="00FD6AF4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Residency Precautions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：</w:t>
            </w:r>
            <w:bookmarkStart w:id="0" w:name="_GoBack"/>
            <w:bookmarkEnd w:id="0"/>
          </w:p>
          <w:p w:rsidR="00435D51" w:rsidRPr="007B1200" w:rsidRDefault="00A911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</w:t>
            </w:r>
            <w:r w:rsidR="00435D51" w:rsidRPr="007B1200">
              <w:rPr>
                <w:rFonts w:ascii="Meiryo" w:eastAsia="Meiryo" w:hAnsi="Meiryo" w:cs="Meiryo"/>
                <w:sz w:val="18"/>
                <w:szCs w:val="18"/>
              </w:rPr>
              <w:t>1. Smoking, drinking alcohol, gambling and illegal drug usage is strictly prohibited on school grounds.</w:t>
            </w:r>
          </w:p>
          <w:p w:rsidR="00435D51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2. Damaged public property shall be compensated with the original price.</w:t>
            </w:r>
          </w:p>
          <w:p w:rsidR="00435D51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3. Pets are strictly prohibited in the dormitory.</w:t>
            </w:r>
          </w:p>
          <w:p w:rsidR="00435D51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4. Students should reduce waste and recycle. According to the announcement from the Dormitory Life Guidance Team, if you need assistance, please refer to the Housing Front Desk Staff.</w:t>
            </w:r>
          </w:p>
          <w:p w:rsidR="00435D51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5. Please turn off electricity and water to save energy. The time for hot water supply for each dormitory room is 6 p.m. to 1 a.m. Each dormitory is equipped with 24-hour hot water supply, if you have any enquiries, please contact the Housing Front Desk Staff.</w:t>
            </w:r>
          </w:p>
          <w:p w:rsidR="00435D51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(v) For exchange students without a student ID, please fill in the number for the international exchange visit or special cases approval ID for the “Student ID” field.</w:t>
            </w:r>
          </w:p>
          <w:p w:rsidR="002826F3" w:rsidRPr="007B1200" w:rsidRDefault="00435D51" w:rsidP="0064422C">
            <w:pPr>
              <w:pStyle w:val="1"/>
              <w:spacing w:line="200" w:lineRule="exact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(vi) </w:t>
            </w:r>
            <w:r w:rsidRPr="006870BA">
              <w:rPr>
                <w:rFonts w:ascii="Meiryo" w:eastAsia="Meiryo" w:hAnsi="Meiryo" w:cs="Meiryo"/>
                <w:sz w:val="18"/>
                <w:szCs w:val="18"/>
              </w:rPr>
              <w:t xml:space="preserve">If </w:t>
            </w:r>
            <w:r w:rsidR="006870BA" w:rsidRPr="006870BA">
              <w:rPr>
                <w:rFonts w:ascii="Meiryo" w:eastAsia="Meiryo" w:hAnsi="Meiryo" w:cs="Meiryo"/>
                <w:sz w:val="18"/>
                <w:szCs w:val="18"/>
              </w:rPr>
              <w:t>you have any further inquiries,</w:t>
            </w:r>
            <w:r w:rsidR="006836F8">
              <w:rPr>
                <w:rFonts w:ascii="Meiryo" w:eastAsia="Meiryo" w:hAnsi="Meiryo" w:cs="Meiryo"/>
                <w:sz w:val="18"/>
                <w:szCs w:val="18"/>
              </w:rPr>
              <w:t xml:space="preserve"> </w:t>
            </w:r>
            <w:r w:rsidR="006870BA" w:rsidRPr="006870BA">
              <w:rPr>
                <w:rFonts w:ascii="Meiryo" w:eastAsia="Meiryo" w:hAnsi="Meiryo" w:cs="Meiryo"/>
                <w:color w:val="222222"/>
                <w:sz w:val="18"/>
                <w:szCs w:val="18"/>
                <w:shd w:val="clear" w:color="auto" w:fill="FFFFFF"/>
              </w:rPr>
              <w:t>please contact Mr. Lee the Division of Life Guidance, Office of Student Affairs,</w:t>
            </w:r>
            <w:r w:rsidR="006836F8">
              <w:rPr>
                <w:rFonts w:ascii="Meiryo" w:eastAsia="Meiryo" w:hAnsi="Meiryo" w:cs="Meiryo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6870BA" w:rsidRPr="006870BA">
              <w:rPr>
                <w:rFonts w:ascii="Meiryo" w:eastAsia="Meiryo" w:hAnsi="Meiryo" w:cs="Meiryo"/>
                <w:color w:val="222222"/>
                <w:sz w:val="18"/>
                <w:szCs w:val="18"/>
                <w:shd w:val="clear" w:color="auto" w:fill="FFFFFF"/>
              </w:rPr>
              <w:t>through</w:t>
            </w:r>
            <w:r w:rsidR="005740CC">
              <w:rPr>
                <w:rFonts w:ascii="Meiryo" w:eastAsia="Meiryo" w:hAnsi="Meiryo" w:cs="Meiryo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hyperlink r:id="rId6" w:tgtFrame="_blank" w:history="1">
              <w:r w:rsidR="006870BA" w:rsidRPr="005740CC">
                <w:rPr>
                  <w:rStyle w:val="a3"/>
                  <w:rFonts w:ascii="Meiryo" w:eastAsia="Meiryo" w:hAnsi="Meiryo" w:cs="Meiryo"/>
                  <w:color w:val="auto"/>
                  <w:sz w:val="18"/>
                  <w:szCs w:val="18"/>
                  <w:u w:val="none"/>
                  <w:shd w:val="clear" w:color="auto" w:fill="FFFFFF"/>
                </w:rPr>
                <w:t>email:kflee@mail.tcu.edu.tw</w:t>
              </w:r>
            </w:hyperlink>
            <w:r w:rsidR="006870BA" w:rsidRPr="005740CC"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6870BA" w:rsidRPr="006870BA">
              <w:rPr>
                <w:rFonts w:ascii="Meiryo" w:eastAsia="Meiryo" w:hAnsi="Meiryo" w:cs="Meiryo"/>
                <w:color w:val="222222"/>
                <w:sz w:val="18"/>
                <w:szCs w:val="18"/>
                <w:shd w:val="clear" w:color="auto" w:fill="FFFFFF"/>
              </w:rPr>
              <w:t>or phone (03)856-5301 #1228.</w:t>
            </w:r>
          </w:p>
        </w:tc>
      </w:tr>
      <w:tr w:rsidR="002826F3" w:rsidTr="001B5D89">
        <w:trPr>
          <w:trHeight w:val="61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21B7D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val="zh-TW"/>
              </w:rPr>
              <w:t>N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o.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Student ID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widowControl w:val="0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widowControl w:val="0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Faculty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widowControl w:val="0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FD6AF4" w:rsidP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eastAsia="zh-TW"/>
              </w:rPr>
              <w:t>D</w:t>
            </w:r>
            <w:r w:rsidR="001B5D8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ate of </w:t>
            </w:r>
            <w:r w:rsidR="001B5D89" w:rsidRPr="007B1200">
              <w:rPr>
                <w:rFonts w:ascii="Meiryo" w:eastAsia="Meiryo" w:hAnsi="Meiryo" w:cs="Meiryo" w:hint="eastAsia"/>
                <w:sz w:val="18"/>
                <w:szCs w:val="18"/>
              </w:rPr>
              <w:t>Stay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 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1B5D8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Begin and End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No.of Days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val="zh-TW"/>
              </w:rPr>
              <w:t>R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oom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/</w:t>
            </w:r>
            <w:r w:rsidRPr="007B1200">
              <w:rPr>
                <w:rFonts w:ascii="Meiryo" w:eastAsia="Meiryo" w:hAnsi="Meiryo" w:cs="Meiryo" w:hint="eastAsia"/>
                <w:sz w:val="18"/>
                <w:szCs w:val="18"/>
                <w:lang w:val="zh-TW"/>
              </w:rPr>
              <w:t>B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ed No.</w:t>
            </w:r>
          </w:p>
        </w:tc>
      </w:tr>
      <w:tr w:rsidR="002826F3" w:rsidTr="001B5D89">
        <w:trPr>
          <w:trHeight w:val="27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BF1B14" w:rsidRDefault="002826F3" w:rsidP="00BF1B14">
            <w:pPr>
              <w:jc w:val="center"/>
              <w:rPr>
                <w:rFonts w:ascii="Meiryo" w:hAnsi="Meiryo" w:cs="Meiryo"/>
                <w:sz w:val="18"/>
                <w:szCs w:val="18"/>
                <w:lang w:eastAsia="zh-TW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BF1B14" w:rsidRDefault="002826F3" w:rsidP="00BF1B14">
            <w:pPr>
              <w:jc w:val="center"/>
              <w:rPr>
                <w:rFonts w:ascii="Meiryo" w:hAnsi="Meiryo" w:cs="Meiryo"/>
                <w:sz w:val="18"/>
                <w:szCs w:val="18"/>
                <w:lang w:eastAsia="zh-TW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BF1B14" w:rsidRDefault="002826F3" w:rsidP="00BF1B14">
            <w:pPr>
              <w:jc w:val="center"/>
              <w:rPr>
                <w:rFonts w:ascii="Meiryo" w:hAnsi="Meiryo" w:cs="Meiryo"/>
                <w:sz w:val="18"/>
                <w:szCs w:val="18"/>
                <w:lang w:eastAsia="zh-TW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14" w:rsidRPr="00BF1B14" w:rsidRDefault="00BF1B14" w:rsidP="00BF1B14">
            <w:pPr>
              <w:jc w:val="center"/>
              <w:rPr>
                <w:rFonts w:ascii="Meiryo" w:hAnsi="Meiryo" w:cs="Meiryo"/>
                <w:sz w:val="18"/>
                <w:szCs w:val="18"/>
                <w:lang w:eastAsia="zh-TW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2826F3" w:rsidTr="001B5D89">
        <w:trPr>
          <w:trHeight w:val="27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2826F3" w:rsidTr="001B5D89">
        <w:trPr>
          <w:trHeight w:val="27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A9115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3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F3" w:rsidRPr="007B1200" w:rsidRDefault="002826F3" w:rsidP="00BF1B14">
            <w:pPr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</w:p>
        </w:tc>
      </w:tr>
      <w:tr w:rsidR="002826F3" w:rsidTr="001B5D89">
        <w:trPr>
          <w:trHeight w:val="1303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Administrative Management Unit Contact Person/ext.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Application Unit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Pr="007B1200">
              <w:rPr>
                <w:rFonts w:ascii="Meiryo" w:eastAsia="Meiryo" w:hAnsi="Meiryo" w:cs="Meiryo" w:hint="eastAsia"/>
                <w:sz w:val="18"/>
                <w:szCs w:val="18"/>
              </w:rPr>
              <w:t>M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iscellaneous Expenses Bill no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val="zh-TW"/>
              </w:rPr>
              <w:t>D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ean of Faculty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  <w:lang w:val="zh-TW"/>
              </w:rPr>
              <w:t>S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val="zh-TW" w:eastAsia="zh-TW"/>
              </w:rPr>
              <w:t>tudent Life Guidance Office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6E140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</w:rPr>
              <w:t>A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ccounting Office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–</w:t>
            </w:r>
            <w:r w:rsidR="001B5D89" w:rsidRPr="007B1200">
              <w:rPr>
                <w:rFonts w:ascii="Meiryo" w:eastAsia="Meiryo" w:hAnsi="Meiryo" w:cs="Meiryo"/>
                <w:sz w:val="18"/>
                <w:szCs w:val="18"/>
              </w:rPr>
              <w:t xml:space="preserve"> Budget Expenditure</w:t>
            </w:r>
          </w:p>
          <w:p w:rsidR="002826F3" w:rsidRPr="007B1200" w:rsidRDefault="00A91151" w:rsidP="001B5D89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(</w:t>
            </w:r>
            <w:r w:rsidR="001B5D89" w:rsidRPr="007B1200">
              <w:rPr>
                <w:rFonts w:ascii="Meiryo" w:eastAsia="Meiryo" w:hAnsi="Meiryo" w:cs="Meiryo" w:hint="eastAsia"/>
                <w:sz w:val="18"/>
                <w:szCs w:val="18"/>
              </w:rPr>
              <w:t>M</w:t>
            </w:r>
            <w:r w:rsidR="001B5D89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iscellaneous Expenses Bill no.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401" w:rsidRPr="007B1200" w:rsidRDefault="006E1401" w:rsidP="006E140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  <w:lang w:eastAsia="zh-TW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</w:rPr>
              <w:t>C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ashiers Office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–</w:t>
            </w:r>
            <w:r w:rsidRPr="007B1200">
              <w:rPr>
                <w:rFonts w:ascii="Meiryo" w:eastAsia="Meiryo" w:hAnsi="Meiryo" w:cs="Meiryo" w:hint="eastAsia"/>
                <w:sz w:val="18"/>
                <w:szCs w:val="18"/>
              </w:rPr>
              <w:t>C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 xml:space="preserve">ash Payment </w:t>
            </w:r>
          </w:p>
          <w:p w:rsidR="002826F3" w:rsidRPr="007B1200" w:rsidRDefault="00A91151" w:rsidP="006E140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6E1401" w:rsidRPr="006870BA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Accomodation Fee Payment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1B5D89" w:rsidP="006E1401">
            <w:pPr>
              <w:pStyle w:val="1"/>
              <w:jc w:val="center"/>
              <w:rPr>
                <w:rFonts w:ascii="Meiryo" w:eastAsia="Meiryo" w:hAnsi="Meiryo" w:cs="Meiryo"/>
                <w:sz w:val="18"/>
                <w:szCs w:val="18"/>
              </w:rPr>
            </w:pPr>
            <w:r w:rsidRPr="007B1200">
              <w:rPr>
                <w:rFonts w:ascii="Meiryo" w:eastAsia="Meiryo" w:hAnsi="Meiryo" w:cs="Meiryo" w:hint="eastAsia"/>
                <w:sz w:val="18"/>
                <w:szCs w:val="18"/>
              </w:rPr>
              <w:t>S</w:t>
            </w:r>
            <w:r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tudent Life Guidance Office</w:t>
            </w:r>
            <w:r w:rsidRPr="007B1200">
              <w:rPr>
                <w:rFonts w:ascii="Meiryo" w:eastAsia="Meiryo" w:hAnsi="Meiryo" w:cs="Meiryo"/>
                <w:sz w:val="18"/>
                <w:szCs w:val="18"/>
              </w:rPr>
              <w:t xml:space="preserve"> 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(</w:t>
            </w:r>
            <w:r w:rsidR="006E1401" w:rsidRPr="007B1200">
              <w:rPr>
                <w:rFonts w:ascii="Meiryo" w:eastAsia="Meiryo" w:hAnsi="Meiryo" w:cs="Meiryo" w:hint="eastAsia"/>
                <w:sz w:val="18"/>
                <w:szCs w:val="18"/>
              </w:rPr>
              <w:t>C</w:t>
            </w:r>
            <w:r w:rsidR="006E1401" w:rsidRPr="007B1200">
              <w:rPr>
                <w:rFonts w:ascii="Meiryo" w:eastAsia="Meiryo" w:hAnsi="Meiryo" w:cs="Meiryo"/>
                <w:sz w:val="18"/>
                <w:szCs w:val="18"/>
                <w:lang w:eastAsia="zh-TW"/>
              </w:rPr>
              <w:t>ase Closure Confirmation</w:t>
            </w:r>
            <w:r w:rsidR="00A91151" w:rsidRPr="007B1200">
              <w:rPr>
                <w:rFonts w:ascii="Meiryo" w:eastAsia="Meiryo" w:hAnsi="Meiryo" w:cs="Meiryo"/>
                <w:sz w:val="18"/>
                <w:szCs w:val="18"/>
              </w:rPr>
              <w:t>)</w:t>
            </w:r>
          </w:p>
        </w:tc>
      </w:tr>
      <w:tr w:rsidR="002826F3" w:rsidTr="001B5D89">
        <w:trPr>
          <w:trHeight w:val="822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F3" w:rsidRPr="007B1200" w:rsidRDefault="002826F3">
            <w:pPr>
              <w:rPr>
                <w:rFonts w:ascii="Meiryo" w:eastAsia="Meiryo" w:hAnsi="Meiryo" w:cs="Meiryo"/>
              </w:rPr>
            </w:pPr>
          </w:p>
        </w:tc>
      </w:tr>
    </w:tbl>
    <w:p w:rsidR="002826F3" w:rsidRDefault="002826F3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hint="eastAsia"/>
        </w:rPr>
      </w:pPr>
    </w:p>
    <w:sectPr w:rsidR="002826F3">
      <w:pgSz w:w="11900" w:h="16840"/>
      <w:pgMar w:top="284" w:right="1800" w:bottom="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71" w:rsidRDefault="00641171">
      <w:r>
        <w:separator/>
      </w:r>
    </w:p>
  </w:endnote>
  <w:endnote w:type="continuationSeparator" w:id="0">
    <w:p w:rsidR="00641171" w:rsidRDefault="006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71" w:rsidRDefault="00641171">
      <w:r>
        <w:separator/>
      </w:r>
    </w:p>
  </w:footnote>
  <w:footnote w:type="continuationSeparator" w:id="0">
    <w:p w:rsidR="00641171" w:rsidRDefault="0064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F3"/>
    <w:rsid w:val="001A6F3C"/>
    <w:rsid w:val="001B5D89"/>
    <w:rsid w:val="002063EE"/>
    <w:rsid w:val="002826F3"/>
    <w:rsid w:val="00435D51"/>
    <w:rsid w:val="00453684"/>
    <w:rsid w:val="005740CC"/>
    <w:rsid w:val="00605462"/>
    <w:rsid w:val="00641171"/>
    <w:rsid w:val="0064422C"/>
    <w:rsid w:val="006836F8"/>
    <w:rsid w:val="006870BA"/>
    <w:rsid w:val="006E1401"/>
    <w:rsid w:val="00703439"/>
    <w:rsid w:val="007B1200"/>
    <w:rsid w:val="009414EA"/>
    <w:rsid w:val="00A21B7D"/>
    <w:rsid w:val="00A42777"/>
    <w:rsid w:val="00A91151"/>
    <w:rsid w:val="00BE3A5F"/>
    <w:rsid w:val="00BF1B14"/>
    <w:rsid w:val="00C679D7"/>
    <w:rsid w:val="00EC77CA"/>
    <w:rsid w:val="00EE5370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40275-0D1F-4422-BC98-B2DBFB0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內文1"/>
    <w:pPr>
      <w:widowControl w:val="0"/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customStyle="1" w:styleId="style1">
    <w:name w:val="style1"/>
    <w:pPr>
      <w:spacing w:before="100" w:after="100"/>
    </w:pPr>
    <w:rPr>
      <w:rFonts w:ascii="新細明體" w:eastAsia="新細明體" w:hAnsi="新細明體" w:cs="新細明體"/>
      <w:b/>
      <w:bCs/>
      <w:color w:val="336600"/>
      <w:sz w:val="36"/>
      <w:szCs w:val="36"/>
      <w:u w:color="336600"/>
    </w:rPr>
  </w:style>
  <w:style w:type="paragraph" w:styleId="a4">
    <w:name w:val="header"/>
    <w:basedOn w:val="a"/>
    <w:link w:val="a5"/>
    <w:uiPriority w:val="99"/>
    <w:unhideWhenUsed/>
    <w:rsid w:val="00A42777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4277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42777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42777"/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1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3Akflee@mail.t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魏綺瑩</dc:creator>
  <cp:lastModifiedBy>User</cp:lastModifiedBy>
  <cp:revision>5</cp:revision>
  <cp:lastPrinted>2021-01-22T00:58:00Z</cp:lastPrinted>
  <dcterms:created xsi:type="dcterms:W3CDTF">2021-01-22T00:52:00Z</dcterms:created>
  <dcterms:modified xsi:type="dcterms:W3CDTF">2021-04-07T07:34:00Z</dcterms:modified>
</cp:coreProperties>
</file>