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56F" w:rsidRPr="0017556F" w:rsidRDefault="0017556F" w:rsidP="0017556F">
      <w:pPr>
        <w:widowControl/>
        <w:snapToGrid w:val="0"/>
        <w:spacing w:before="100" w:beforeAutospacing="1" w:after="100" w:afterAutospacing="1"/>
        <w:jc w:val="center"/>
        <w:rPr>
          <w:rFonts w:ascii="標楷體" w:eastAsia="標楷體" w:hAnsi="標楷體" w:cs="新細明體"/>
          <w:b/>
          <w:bCs/>
          <w:color w:val="000000"/>
          <w:kern w:val="0"/>
          <w:sz w:val="44"/>
          <w:szCs w:val="44"/>
        </w:rPr>
      </w:pPr>
      <w:r w:rsidRPr="0017556F">
        <w:rPr>
          <w:rFonts w:ascii="標楷體" w:eastAsia="標楷體" w:hAnsi="標楷體" w:cs="新細明體" w:hint="eastAsia"/>
          <w:b/>
          <w:bCs/>
          <w:color w:val="000000"/>
          <w:kern w:val="0"/>
          <w:sz w:val="44"/>
          <w:szCs w:val="44"/>
        </w:rPr>
        <w:t>慈濟大學學生宿舍消防常識資料</w:t>
      </w:r>
    </w:p>
    <w:p w:rsidR="0017556F" w:rsidRPr="0017556F" w:rsidRDefault="0017556F" w:rsidP="0017556F">
      <w:pPr>
        <w:widowControl/>
        <w:snapToGrid w:val="0"/>
        <w:spacing w:before="100" w:beforeAutospacing="1" w:after="100" w:afterAutospacing="1"/>
        <w:rPr>
          <w:rFonts w:ascii="標楷體" w:eastAsia="標楷體" w:hAnsi="標楷體" w:cs="新細明體"/>
          <w:b/>
          <w:bCs/>
          <w:color w:val="FF0000"/>
          <w:kern w:val="0"/>
          <w:sz w:val="28"/>
          <w:szCs w:val="28"/>
        </w:rPr>
      </w:pPr>
      <w:r w:rsidRPr="0017556F">
        <w:rPr>
          <w:rFonts w:ascii="標楷體" w:eastAsia="標楷體" w:hAnsi="標楷體" w:cs="新細明體" w:hint="eastAsia"/>
          <w:b/>
          <w:bCs/>
          <w:color w:val="FF0000"/>
          <w:kern w:val="0"/>
          <w:sz w:val="28"/>
          <w:szCs w:val="28"/>
        </w:rPr>
        <w:t>火災時逃生對策</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一、平　時 </w:t>
      </w:r>
      <w:r w:rsidRPr="0017556F">
        <w:rPr>
          <w:rFonts w:ascii="標楷體" w:eastAsia="標楷體" w:hAnsi="標楷體" w:cs="新細明體" w:hint="eastAsia"/>
          <w:color w:val="000000"/>
          <w:kern w:val="0"/>
          <w:sz w:val="30"/>
          <w:szCs w:val="30"/>
        </w:rPr>
        <w:br/>
        <w:t xml:space="preserve">　　在平時即要有危機意識，多利用機會瞭解消防安全常識及逃生避難方法，另外，認識平時居住之環境或辦公處所之消防設施及逃生避難設備，事前擬妥逃生避難之計畫，並加以預習，於狀況發生時，便能從容應付，順利逃生。 </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二、進入陌生場所時 </w:t>
      </w:r>
      <w:r w:rsidRPr="0017556F">
        <w:rPr>
          <w:rFonts w:ascii="標楷體" w:eastAsia="標楷體" w:hAnsi="標楷體" w:cs="新細明體" w:hint="eastAsia"/>
          <w:color w:val="000000"/>
          <w:kern w:val="0"/>
          <w:sz w:val="30"/>
          <w:szCs w:val="30"/>
        </w:rPr>
        <w:br/>
        <w:t xml:space="preserve">　　進入陌生場所時，應先尋找安全門、梯、查看有無加鎖，熟悉逃生路徑，尤其是夜宿飯店、旅館或三溫暖等公共場所，更應特別注意有兩個不同逃生方向出口最安全。消防安全檢查記錄不佳之場所更是避免進入為宜。 </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三、發生火警時 </w:t>
      </w:r>
      <w:r w:rsidRPr="0017556F">
        <w:rPr>
          <w:rFonts w:ascii="標楷體" w:eastAsia="標楷體" w:hAnsi="標楷體" w:cs="新細明體" w:hint="eastAsia"/>
          <w:color w:val="000000"/>
          <w:kern w:val="0"/>
          <w:sz w:val="30"/>
          <w:szCs w:val="30"/>
        </w:rPr>
        <w:br/>
        <w:t xml:space="preserve">可採取下列三項措施：﹝一﹞滅火﹝二﹞報警﹝三﹞逃生。 </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﹝一﹞滅火 </w:t>
      </w:r>
      <w:r w:rsidRPr="0017556F">
        <w:rPr>
          <w:rFonts w:ascii="標楷體" w:eastAsia="標楷體" w:hAnsi="標楷體" w:cs="新細明體" w:hint="eastAsia"/>
          <w:color w:val="000000"/>
          <w:kern w:val="0"/>
          <w:sz w:val="30"/>
          <w:szCs w:val="30"/>
        </w:rPr>
        <w:br/>
        <w:t xml:space="preserve">　　滅火最重時效，能於火源初萌時，立即予以撲滅，即能迅速遏止火災發生或蔓延，此時可利用就近之滅火機、消防栓箱之水瞄，從事滅火。如無法迅速取得這滅火器具，則可利用棉被、窗簾等沾濕來滅火。但如火有擴大蔓延之傾向，則應迅速撤退，至安全之處所。 </w:t>
      </w:r>
      <w:r w:rsidRPr="0017556F">
        <w:rPr>
          <w:rFonts w:ascii="標楷體" w:eastAsia="標楷體" w:hAnsi="標楷體" w:cs="新細明體" w:hint="eastAsia"/>
          <w:color w:val="000000"/>
          <w:kern w:val="0"/>
          <w:sz w:val="30"/>
          <w:szCs w:val="30"/>
        </w:rPr>
        <w:br/>
      </w:r>
      <w:r w:rsidRPr="0017556F">
        <w:rPr>
          <w:rFonts w:ascii="標楷體" w:eastAsia="標楷體" w:hAnsi="標楷體" w:cs="新細明體" w:hint="eastAsia"/>
          <w:color w:val="000000"/>
          <w:kern w:val="0"/>
          <w:sz w:val="30"/>
          <w:szCs w:val="30"/>
        </w:rPr>
        <w:br/>
        <w:t xml:space="preserve">﹝二﹞報警 </w:t>
      </w:r>
      <w:r w:rsidRPr="0017556F">
        <w:rPr>
          <w:rFonts w:ascii="標楷體" w:eastAsia="標楷體" w:hAnsi="標楷體" w:cs="新細明體" w:hint="eastAsia"/>
          <w:color w:val="000000"/>
          <w:kern w:val="0"/>
          <w:sz w:val="30"/>
          <w:szCs w:val="30"/>
        </w:rPr>
        <w:br/>
        <w:t xml:space="preserve">　　發現火災時，應立即報警，如利用大樓內消防栓箱上之手動報警機，或是電話打“</w:t>
      </w:r>
      <w:smartTag w:uri="urn:schemas-microsoft-com:office:smarttags" w:element="chmetcnv">
        <w:smartTagPr>
          <w:attr w:name="UnitName" w:val="”"/>
          <w:attr w:name="SourceValue" w:val="119"/>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30"/>
          </w:rPr>
          <w:t>119”</w:t>
        </w:r>
      </w:smartTag>
      <w:r w:rsidRPr="0017556F">
        <w:rPr>
          <w:rFonts w:ascii="標楷體" w:eastAsia="標楷體" w:hAnsi="標楷體" w:cs="新細明體" w:hint="eastAsia"/>
          <w:color w:val="000000"/>
          <w:kern w:val="0"/>
          <w:sz w:val="30"/>
          <w:szCs w:val="30"/>
        </w:rPr>
        <w:t>報警同時亦可大聲呼喊、敲門、喚醒他人知道火災之發生，而逃離現場。如打“</w:t>
      </w:r>
      <w:smartTag w:uri="urn:schemas-microsoft-com:office:smarttags" w:element="chmetcnv">
        <w:smartTagPr>
          <w:attr w:name="UnitName" w:val="”"/>
          <w:attr w:name="SourceValue" w:val="119"/>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30"/>
          </w:rPr>
          <w:t>119”</w:t>
        </w:r>
      </w:smartTag>
      <w:r w:rsidRPr="0017556F">
        <w:rPr>
          <w:rFonts w:ascii="標楷體" w:eastAsia="標楷體" w:hAnsi="標楷體" w:cs="新細明體" w:hint="eastAsia"/>
          <w:color w:val="000000"/>
          <w:kern w:val="0"/>
          <w:sz w:val="30"/>
          <w:szCs w:val="30"/>
        </w:rPr>
        <w:t xml:space="preserve">報警，切勿心慌，一定要詳細說明火警發生之地址、處所、建築物狀況等，以便適切派遣消防車輛前往救災。 </w:t>
      </w:r>
    </w:p>
    <w:p w:rsidR="0017556F" w:rsidRPr="0017556F" w:rsidRDefault="0017556F" w:rsidP="0017556F">
      <w:pPr>
        <w:widowControl/>
        <w:snapToGrid w:val="0"/>
        <w:spacing w:before="100" w:beforeAutospacing="1" w:after="100" w:afterAutospacing="1"/>
        <w:rPr>
          <w:rFonts w:ascii="標楷體" w:eastAsia="標楷體" w:hAnsi="標楷體" w:cs="新細明體"/>
          <w:color w:val="000000"/>
          <w:kern w:val="0"/>
          <w:szCs w:val="24"/>
        </w:rPr>
      </w:pPr>
      <w:r w:rsidRPr="0017556F">
        <w:rPr>
          <w:rFonts w:ascii="標楷體" w:eastAsia="標楷體" w:hAnsi="標楷體" w:cs="新細明體" w:hint="eastAsia"/>
          <w:color w:val="000000"/>
          <w:kern w:val="0"/>
          <w:sz w:val="30"/>
          <w:szCs w:val="30"/>
        </w:rPr>
        <w:t xml:space="preserve">﹝三﹞逃生 </w:t>
      </w:r>
      <w:r w:rsidRPr="0017556F">
        <w:rPr>
          <w:rFonts w:ascii="標楷體" w:eastAsia="標楷體" w:hAnsi="標楷體" w:cs="新細明體" w:hint="eastAsia"/>
          <w:color w:val="000000"/>
          <w:kern w:val="0"/>
          <w:sz w:val="30"/>
          <w:szCs w:val="30"/>
        </w:rPr>
        <w:br/>
        <w:t xml:space="preserve">　　當火災發生時，掌握契機，迅速判斷，正確的逃生，保全性命是最佳之道。逃生時，務必保持鎮定，切勿驚慌，以致張惶失措，更勿為攜帶貴重財物，而延誤了逃生的時機。 </w:t>
      </w:r>
    </w:p>
    <w:p w:rsidR="0017556F" w:rsidRPr="0017556F" w:rsidRDefault="0017556F" w:rsidP="0017556F">
      <w:pPr>
        <w:widowControl/>
        <w:snapToGrid w:val="0"/>
        <w:spacing w:before="100" w:beforeAutospacing="1" w:after="100" w:afterAutospacing="1"/>
        <w:rPr>
          <w:rFonts w:ascii="標楷體" w:eastAsia="標楷體" w:hAnsi="標楷體" w:cs="新細明體"/>
          <w:b/>
          <w:bCs/>
          <w:color w:val="FF0000"/>
          <w:kern w:val="0"/>
          <w:sz w:val="28"/>
          <w:szCs w:val="28"/>
        </w:rPr>
      </w:pPr>
    </w:p>
    <w:p w:rsidR="0017556F" w:rsidRPr="0017556F" w:rsidRDefault="0017556F" w:rsidP="0017556F">
      <w:pPr>
        <w:widowControl/>
        <w:snapToGrid w:val="0"/>
        <w:spacing w:before="100" w:beforeAutospacing="1" w:after="100" w:afterAutospacing="1"/>
        <w:rPr>
          <w:rFonts w:ascii="標楷體" w:eastAsia="標楷體" w:hAnsi="標楷體" w:cs="新細明體"/>
          <w:b/>
          <w:bCs/>
          <w:color w:val="FF0000"/>
          <w:kern w:val="0"/>
          <w:sz w:val="28"/>
          <w:szCs w:val="28"/>
        </w:rPr>
      </w:pPr>
      <w:r w:rsidRPr="0017556F">
        <w:rPr>
          <w:rFonts w:ascii="標楷體" w:eastAsia="標楷體" w:hAnsi="標楷體" w:cs="新細明體" w:hint="eastAsia"/>
          <w:b/>
          <w:bCs/>
          <w:color w:val="FF0000"/>
          <w:kern w:val="0"/>
          <w:sz w:val="28"/>
          <w:szCs w:val="28"/>
        </w:rPr>
        <w:t>認識火災</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24"/>
        </w:rPr>
        <w:t xml:space="preserve">一、火災之分類 </w:t>
      </w:r>
    </w:p>
    <w:p w:rsidR="0017556F" w:rsidRPr="0017556F" w:rsidRDefault="0017556F" w:rsidP="0017556F">
      <w:pPr>
        <w:widowControl/>
        <w:snapToGrid w:val="0"/>
        <w:spacing w:before="100" w:beforeAutospacing="1" w:after="300"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火災依燃燒物質之不同可區分為四大類：</w:t>
      </w:r>
    </w:p>
    <w:tbl>
      <w:tblPr>
        <w:tblW w:w="5000" w:type="pct"/>
        <w:tblCellSpacing w:w="7" w:type="dxa"/>
        <w:tblBorders>
          <w:top w:val="outset" w:sz="6" w:space="0" w:color="0099CC"/>
          <w:left w:val="outset" w:sz="6" w:space="0" w:color="0099CC"/>
          <w:bottom w:val="outset" w:sz="6" w:space="0" w:color="0099CC"/>
          <w:right w:val="outset" w:sz="6" w:space="0" w:color="0099CC"/>
        </w:tblBorders>
        <w:tblCellMar>
          <w:left w:w="0" w:type="dxa"/>
          <w:right w:w="0" w:type="dxa"/>
        </w:tblCellMar>
        <w:tblLook w:val="04A0" w:firstRow="1" w:lastRow="0" w:firstColumn="1" w:lastColumn="0" w:noHBand="0" w:noVBand="1"/>
      </w:tblPr>
      <w:tblGrid>
        <w:gridCol w:w="673"/>
        <w:gridCol w:w="666"/>
        <w:gridCol w:w="5681"/>
        <w:gridCol w:w="6202"/>
      </w:tblGrid>
      <w:tr w:rsidR="0017556F" w:rsidRPr="0017556F" w:rsidTr="0017556F">
        <w:trPr>
          <w:trHeight w:val="375"/>
          <w:tblCellSpacing w:w="7" w:type="dxa"/>
        </w:trPr>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類別</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名稱</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說明</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備註</w:t>
            </w:r>
          </w:p>
        </w:tc>
      </w:tr>
      <w:tr w:rsidR="0017556F" w:rsidRPr="0017556F" w:rsidTr="0017556F">
        <w:trPr>
          <w:tblCellSpacing w:w="7" w:type="dxa"/>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Ａ類火災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普通火災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普通可燃物如木製品、紙纖維、棉、布、合成只樹脂、橡膠、塑膠等發生之火災。通常建築物之火災即屬此類。</w:t>
            </w:r>
          </w:p>
        </w:tc>
        <w:tc>
          <w:tcPr>
            <w:tcW w:w="0" w:type="auto"/>
            <w:tcBorders>
              <w:top w:val="outset" w:sz="6" w:space="0" w:color="0099CC"/>
              <w:left w:val="outset" w:sz="6" w:space="0" w:color="0099CC"/>
              <w:bottom w:val="outset" w:sz="6" w:space="0" w:color="0099CC"/>
              <w:right w:val="outset" w:sz="6" w:space="0" w:color="0099CC"/>
            </w:tcBorders>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可以藉水或含水溶液的冷卻作用使燃燒物溫度降低，以致達成滅火效果。</w:t>
            </w:r>
          </w:p>
        </w:tc>
      </w:tr>
      <w:tr w:rsidR="0017556F" w:rsidRPr="0017556F" w:rsidTr="0017556F">
        <w:trPr>
          <w:tblCellSpacing w:w="7" w:type="dxa"/>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Ｂ類火災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油類火災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可燃物液體如石油、或可燃性氣體如乙烷氣、乙炔氣、或可燃性油脂如塗料等發生之火災。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最有效的是以掩蓋法隔離氧氣，使之窒熄。此外如移開可燃物或降低溫度亦可以達到滅火效果。</w:t>
            </w:r>
          </w:p>
        </w:tc>
      </w:tr>
      <w:tr w:rsidR="0017556F" w:rsidRPr="0017556F" w:rsidTr="0017556F">
        <w:trPr>
          <w:tblCellSpacing w:w="7" w:type="dxa"/>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lastRenderedPageBreak/>
              <w:t>Ｃ類火災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電氣火災</w:t>
            </w:r>
          </w:p>
        </w:tc>
        <w:tc>
          <w:tcPr>
            <w:tcW w:w="0" w:type="auto"/>
            <w:tcBorders>
              <w:top w:val="outset" w:sz="6" w:space="0" w:color="0099CC"/>
              <w:left w:val="outset" w:sz="6" w:space="0" w:color="0099CC"/>
              <w:bottom w:val="outset" w:sz="6" w:space="0" w:color="0099CC"/>
              <w:right w:val="outset" w:sz="6" w:space="0" w:color="0099CC"/>
            </w:tcBorders>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涉及通電中之電氣設備，如電器、變壓器、電線、配電盤等引起之火災。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有時可用不導電的滅火劑控制火勢，但如能截斷電源再視情況依Ａ或Ｂ類火災處理，較為妥當。</w:t>
            </w:r>
          </w:p>
        </w:tc>
      </w:tr>
      <w:tr w:rsidR="0017556F" w:rsidRPr="0017556F" w:rsidTr="0017556F">
        <w:trPr>
          <w:tblCellSpacing w:w="7" w:type="dxa"/>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Ｄ類火災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金屬火災</w:t>
            </w:r>
          </w:p>
        </w:tc>
        <w:tc>
          <w:tcPr>
            <w:tcW w:w="0" w:type="auto"/>
            <w:tcBorders>
              <w:top w:val="outset" w:sz="6" w:space="0" w:color="0099CC"/>
              <w:left w:val="outset" w:sz="6" w:space="0" w:color="0099CC"/>
              <w:bottom w:val="outset" w:sz="6" w:space="0" w:color="0099CC"/>
              <w:right w:val="outset" w:sz="6" w:space="0" w:color="0099CC"/>
            </w:tcBorders>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活性金屬如鎂、鉀、鋰、鋯、鈦等或其他禁水性物質燃燒引起之火災。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這些物質燃燒時溫度甚高，只有分別控制這些可燃金屬的特定滅火劑能有效滅火。﹝通常均會標明專用於何種金屬。﹞</w:t>
            </w:r>
          </w:p>
        </w:tc>
      </w:tr>
    </w:tbl>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二、滅火的基本方法</w:t>
      </w:r>
    </w:p>
    <w:tbl>
      <w:tblPr>
        <w:tblW w:w="5000" w:type="pct"/>
        <w:jc w:val="center"/>
        <w:tblCellSpacing w:w="7" w:type="dxa"/>
        <w:tblBorders>
          <w:top w:val="outset" w:sz="6" w:space="0" w:color="0099CC"/>
          <w:left w:val="outset" w:sz="6" w:space="0" w:color="0099CC"/>
          <w:bottom w:val="outset" w:sz="6" w:space="0" w:color="0099CC"/>
          <w:right w:val="outset" w:sz="6" w:space="0" w:color="0099CC"/>
        </w:tblBorders>
        <w:tblCellMar>
          <w:left w:w="0" w:type="dxa"/>
          <w:right w:w="0" w:type="dxa"/>
        </w:tblCellMar>
        <w:tblLook w:val="04A0" w:firstRow="1" w:lastRow="0" w:firstColumn="1" w:lastColumn="0" w:noHBand="0" w:noVBand="1"/>
      </w:tblPr>
      <w:tblGrid>
        <w:gridCol w:w="1174"/>
        <w:gridCol w:w="1844"/>
        <w:gridCol w:w="1246"/>
        <w:gridCol w:w="2560"/>
        <w:gridCol w:w="6398"/>
      </w:tblGrid>
      <w:tr w:rsidR="0017556F" w:rsidRPr="0017556F" w:rsidTr="0017556F">
        <w:trPr>
          <w:trHeight w:val="330"/>
          <w:tblCellSpacing w:w="7" w:type="dxa"/>
          <w:jc w:val="center"/>
        </w:trPr>
        <w:tc>
          <w:tcPr>
            <w:tcW w:w="0" w:type="auto"/>
            <w:vMerge w:val="restart"/>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滅火的</w:t>
            </w:r>
            <w:r w:rsidRPr="0017556F">
              <w:rPr>
                <w:rFonts w:ascii="標楷體" w:eastAsia="標楷體" w:hAnsi="標楷體" w:cs="新細明體" w:hint="eastAsia"/>
                <w:b/>
                <w:bCs/>
                <w:color w:val="000000"/>
                <w:kern w:val="0"/>
                <w:sz w:val="30"/>
                <w:szCs w:val="30"/>
              </w:rPr>
              <w:br/>
              <w:t>基本原理</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燃燒條件</w:t>
            </w:r>
          </w:p>
        </w:tc>
        <w:tc>
          <w:tcPr>
            <w:tcW w:w="0" w:type="auto"/>
            <w:tcBorders>
              <w:top w:val="outset" w:sz="6" w:space="0" w:color="0099CC"/>
              <w:left w:val="outset" w:sz="6" w:space="0" w:color="0099CC"/>
              <w:bottom w:val="outset" w:sz="6" w:space="0" w:color="0099CC"/>
              <w:right w:val="outset" w:sz="6" w:space="0" w:color="0099CC"/>
            </w:tcBorders>
            <w:shd w:val="clear" w:color="auto" w:fill="F0F0F0"/>
            <w:noWrap/>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方法名稱</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滅火原理</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滅火方法</w:t>
            </w:r>
          </w:p>
        </w:tc>
      </w:tr>
      <w:tr w:rsidR="0017556F" w:rsidRPr="0017556F" w:rsidTr="0017556F">
        <w:trPr>
          <w:tblCellSpacing w:w="7" w:type="dxa"/>
          <w:jc w:val="center"/>
        </w:trPr>
        <w:tc>
          <w:tcPr>
            <w:tcW w:w="0" w:type="auto"/>
            <w:vMerge/>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rPr>
                <w:rFonts w:ascii="標楷體" w:eastAsia="標楷體" w:hAnsi="標楷體" w:cs="新細明體"/>
                <w:b/>
                <w:bCs/>
                <w:color w:val="000000"/>
                <w:kern w:val="0"/>
                <w:sz w:val="30"/>
                <w:szCs w:val="30"/>
              </w:rPr>
            </w:pP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可燃物</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拆除法</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搬離或除去可燃物。</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將可燃物搬離火中或自燃燒的火焰中除去。</w:t>
            </w:r>
          </w:p>
        </w:tc>
      </w:tr>
      <w:tr w:rsidR="0017556F" w:rsidRPr="0017556F" w:rsidTr="0017556F">
        <w:trPr>
          <w:tblCellSpacing w:w="7" w:type="dxa"/>
          <w:jc w:val="center"/>
        </w:trPr>
        <w:tc>
          <w:tcPr>
            <w:tcW w:w="0" w:type="auto"/>
            <w:vMerge/>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rPr>
                <w:rFonts w:ascii="標楷體" w:eastAsia="標楷體" w:hAnsi="標楷體" w:cs="新細明體"/>
                <w:b/>
                <w:bCs/>
                <w:color w:val="000000"/>
                <w:kern w:val="0"/>
                <w:sz w:val="30"/>
                <w:szCs w:val="30"/>
              </w:rPr>
            </w:pPr>
          </w:p>
        </w:tc>
        <w:tc>
          <w:tcPr>
            <w:tcW w:w="0" w:type="auto"/>
            <w:tcBorders>
              <w:top w:val="outset" w:sz="6" w:space="0" w:color="0099CC"/>
              <w:left w:val="outset" w:sz="6" w:space="0" w:color="0099CC"/>
              <w:bottom w:val="outset" w:sz="6" w:space="0" w:color="0099CC"/>
              <w:right w:val="outset" w:sz="6" w:space="0" w:color="0099CC"/>
            </w:tcBorders>
            <w:noWrap/>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助燃物（氧﹞</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窒息法</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除去助燃物。</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排除、隔絕或者稀釋空氣中的氧氣</w:t>
            </w:r>
          </w:p>
        </w:tc>
      </w:tr>
      <w:tr w:rsidR="0017556F" w:rsidRPr="0017556F" w:rsidTr="0017556F">
        <w:trPr>
          <w:tblCellSpacing w:w="7" w:type="dxa"/>
          <w:jc w:val="center"/>
        </w:trPr>
        <w:tc>
          <w:tcPr>
            <w:tcW w:w="0" w:type="auto"/>
            <w:vMerge/>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rPr>
                <w:rFonts w:ascii="標楷體" w:eastAsia="標楷體" w:hAnsi="標楷體" w:cs="新細明體"/>
                <w:b/>
                <w:bCs/>
                <w:color w:val="000000"/>
                <w:kern w:val="0"/>
                <w:sz w:val="30"/>
                <w:szCs w:val="30"/>
              </w:rPr>
            </w:pP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熱　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冷卻法</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滅少熱能。</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使可燃物的溫度降低到燃點以下。</w:t>
            </w:r>
          </w:p>
        </w:tc>
      </w:tr>
      <w:tr w:rsidR="0017556F" w:rsidRPr="0017556F" w:rsidTr="0017556F">
        <w:trPr>
          <w:tblCellSpacing w:w="7" w:type="dxa"/>
          <w:jc w:val="center"/>
        </w:trPr>
        <w:tc>
          <w:tcPr>
            <w:tcW w:w="0" w:type="auto"/>
            <w:vMerge/>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rPr>
                <w:rFonts w:ascii="標楷體" w:eastAsia="標楷體" w:hAnsi="標楷體" w:cs="新細明體"/>
                <w:b/>
                <w:bCs/>
                <w:color w:val="000000"/>
                <w:kern w:val="0"/>
                <w:sz w:val="30"/>
                <w:szCs w:val="30"/>
              </w:rPr>
            </w:pP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連鎖反應</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抑制法</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破壞連鎖反應。</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加入能與游離基結合的物質，破壞或阻礙連鎖反應。</w:t>
            </w:r>
          </w:p>
        </w:tc>
      </w:tr>
    </w:tbl>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三、建築物火災燃燒成長過程</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﹝一﹞成長期﹝Growth Development Period﹞ </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﹝二﹞燃燒期或旺盛期﹝Burning Period or Fully Devlopment </w:t>
      </w:r>
      <w:r w:rsidRPr="0017556F">
        <w:rPr>
          <w:rFonts w:ascii="標楷體" w:eastAsia="標楷體" w:hAnsi="標楷體" w:cs="新細明體" w:hint="eastAsia"/>
          <w:color w:val="000000"/>
          <w:kern w:val="0"/>
          <w:sz w:val="30"/>
          <w:szCs w:val="30"/>
        </w:rPr>
        <w:br/>
        <w:t xml:space="preserve">      Period﹞ </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﹝三﹞衰退期﹝Decay Period﹞ </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四、火災對人之危害作用</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　　火災可怕的主要乃是火災過程中材料燃燒產生的結果明顯脅到人員性命，無論是對火災燃燒系內及鄰接區域之人員，但其相對嚴重性依每次火災狀況而定。火災對於人命安全之效應概分述如下： </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﹝一﹞氧氣耗盡﹝Oxygen depletion﹞ </w:t>
      </w:r>
    </w:p>
    <w:p w:rsidR="0017556F" w:rsidRPr="0017556F" w:rsidRDefault="0017556F" w:rsidP="0017556F">
      <w:pPr>
        <w:widowControl/>
        <w:snapToGrid w:val="0"/>
        <w:ind w:left="720"/>
        <w:rPr>
          <w:rFonts w:ascii="標楷體" w:eastAsia="標楷體" w:hAnsi="標楷體" w:cs="新細明體"/>
          <w:color w:val="000000"/>
          <w:kern w:val="0"/>
          <w:sz w:val="30"/>
          <w:szCs w:val="24"/>
        </w:rPr>
      </w:pPr>
      <w:r w:rsidRPr="0017556F">
        <w:rPr>
          <w:rFonts w:ascii="標楷體" w:eastAsia="標楷體" w:hAnsi="標楷體" w:cs="新細明體" w:hint="eastAsia"/>
          <w:color w:val="000000"/>
          <w:kern w:val="0"/>
          <w:sz w:val="30"/>
          <w:szCs w:val="24"/>
        </w:rPr>
        <w:t xml:space="preserve">　　一般人類慣於在大氣之21%氧氣濃度下自在活動。</w:t>
      </w:r>
    </w:p>
    <w:p w:rsidR="0017556F" w:rsidRPr="0017556F" w:rsidRDefault="0017556F" w:rsidP="0017556F">
      <w:pPr>
        <w:widowControl/>
        <w:snapToGrid w:val="0"/>
        <w:ind w:left="720"/>
        <w:rPr>
          <w:rFonts w:ascii="標楷體" w:eastAsia="標楷體" w:hAnsi="標楷體" w:cs="新細明體"/>
          <w:color w:val="000000"/>
          <w:kern w:val="0"/>
          <w:szCs w:val="24"/>
        </w:rPr>
      </w:pPr>
      <w:r w:rsidRPr="0017556F">
        <w:rPr>
          <w:rFonts w:ascii="標楷體" w:eastAsia="標楷體" w:hAnsi="標楷體" w:cs="新細明體" w:hint="eastAsia"/>
          <w:color w:val="000000"/>
          <w:kern w:val="0"/>
          <w:sz w:val="30"/>
          <w:szCs w:val="24"/>
        </w:rPr>
        <w:t xml:space="preserve">    當氧濃度低至17%，肌肉功能會減退，此為缺氧症﹝Anoxia﹞現象。在10～ 14%氧氣濃度時，人仍有意識，但顯現錯誤判斷力，且本身不察覺。在6～8%氧氣濃度時，呼吸停止，將在6～8分鐘內發生窒息﹝Asphyxiation﹞死亡。由火災引致之亢奮及活動量往往增加人體對氧氣之需求，所以實際上在氧氣濃度尚高時，即可能已出現氧氣不足症狀。一般人存活的氧氣濃度低限為10%，然而能否到達些程度及多快到達，則依每次火災及燃燒系內不同位置而異，因為此濃度受可燃物濃度、燃燒速度、燃燒系體積及透氣速率所影響。 </w:t>
      </w:r>
    </w:p>
    <w:p w:rsidR="0017556F" w:rsidRDefault="0017556F" w:rsidP="0017556F">
      <w:pPr>
        <w:widowControl/>
        <w:snapToGrid w:val="0"/>
        <w:spacing w:line="360" w:lineRule="atLeast"/>
        <w:ind w:left="720"/>
        <w:rPr>
          <w:rFonts w:ascii="標楷體" w:eastAsia="標楷體" w:hAnsi="標楷體" w:cs="新細明體" w:hint="eastAsia"/>
          <w:color w:val="000000"/>
          <w:kern w:val="0"/>
          <w:sz w:val="30"/>
          <w:szCs w:val="30"/>
        </w:rPr>
      </w:pPr>
    </w:p>
    <w:p w:rsidR="00C4608C" w:rsidRDefault="00C4608C" w:rsidP="0017556F">
      <w:pPr>
        <w:widowControl/>
        <w:snapToGrid w:val="0"/>
        <w:spacing w:line="360" w:lineRule="atLeast"/>
        <w:ind w:left="720"/>
        <w:rPr>
          <w:rFonts w:ascii="標楷體" w:eastAsia="標楷體" w:hAnsi="標楷體" w:cs="新細明體"/>
          <w:color w:val="000000"/>
          <w:kern w:val="0"/>
          <w:sz w:val="30"/>
          <w:szCs w:val="30"/>
        </w:rPr>
      </w:pPr>
    </w:p>
    <w:p w:rsidR="00C4608C" w:rsidRPr="0017556F" w:rsidRDefault="00C4608C" w:rsidP="0017556F">
      <w:pPr>
        <w:widowControl/>
        <w:snapToGrid w:val="0"/>
        <w:spacing w:line="360" w:lineRule="atLeast"/>
        <w:ind w:left="720"/>
        <w:rPr>
          <w:rFonts w:ascii="標楷體" w:eastAsia="標楷體" w:hAnsi="標楷體" w:cs="新細明體"/>
          <w:color w:val="000000"/>
          <w:kern w:val="0"/>
          <w:sz w:val="30"/>
          <w:szCs w:val="30"/>
        </w:rPr>
      </w:pP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lastRenderedPageBreak/>
        <w:t xml:space="preserve">﹝二﹞火焰﹝Flame﹞ </w:t>
      </w:r>
    </w:p>
    <w:p w:rsidR="0017556F" w:rsidRPr="00C4608C" w:rsidRDefault="0017556F" w:rsidP="00C4608C">
      <w:pPr>
        <w:widowControl/>
        <w:snapToGrid w:val="0"/>
        <w:ind w:left="720"/>
        <w:rPr>
          <w:rFonts w:ascii="標楷體" w:eastAsia="標楷體" w:hAnsi="標楷體" w:cs="新細明體" w:hint="eastAsia"/>
          <w:color w:val="000000"/>
          <w:kern w:val="0"/>
          <w:szCs w:val="24"/>
        </w:rPr>
      </w:pPr>
      <w:r w:rsidRPr="0017556F">
        <w:rPr>
          <w:rFonts w:ascii="標楷體" w:eastAsia="標楷體" w:hAnsi="標楷體" w:cs="新細明體" w:hint="eastAsia"/>
          <w:color w:val="000000"/>
          <w:kern w:val="0"/>
          <w:sz w:val="30"/>
          <w:szCs w:val="24"/>
        </w:rPr>
        <w:t xml:space="preserve">　　燒傷可能因火焰之直接接觸及熱輻射引起。由於火焰鮮少與燃燒物質脫離，所以對鄰接區域內人員常產生直接威脅，這點與燃燒氣體及煙不同。皮膚若維持在溫度</w:t>
      </w:r>
      <w:smartTag w:uri="urn:schemas-microsoft-com:office:smarttags" w:element="chmetcnv">
        <w:smartTagPr>
          <w:attr w:name="UnitName" w:val="℃"/>
          <w:attr w:name="SourceValue" w:val="66"/>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66℃</w:t>
        </w:r>
      </w:smartTag>
      <w:r w:rsidRPr="0017556F">
        <w:rPr>
          <w:rFonts w:ascii="標楷體" w:eastAsia="標楷體" w:hAnsi="標楷體" w:cs="新細明體" w:hint="eastAsia"/>
          <w:color w:val="000000"/>
          <w:kern w:val="0"/>
          <w:sz w:val="30"/>
          <w:szCs w:val="24"/>
        </w:rPr>
        <w:t>﹝</w:t>
      </w:r>
      <w:smartTag w:uri="urn:schemas-microsoft-com:office:smarttags" w:element="chmetcnv">
        <w:smartTagPr>
          <w:attr w:name="UnitName" w:val="℉"/>
          <w:attr w:name="SourceValue" w:val="150"/>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150℉</w:t>
        </w:r>
      </w:smartTag>
      <w:r w:rsidRPr="0017556F">
        <w:rPr>
          <w:rFonts w:ascii="標楷體" w:eastAsia="標楷體" w:hAnsi="標楷體" w:cs="新細明體" w:hint="eastAsia"/>
          <w:color w:val="000000"/>
          <w:kern w:val="0"/>
          <w:sz w:val="30"/>
          <w:szCs w:val="24"/>
        </w:rPr>
        <w:t>﹞以上或受到輻射熱3W/cm2以上，僅須1秒即可造成燒傷，故火焰溫度及其輻射熱可能導致立即或事後致命。</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﹝三﹞熱﹝Heat﹞</w:t>
      </w:r>
    </w:p>
    <w:p w:rsidR="0017556F" w:rsidRPr="0017556F" w:rsidRDefault="0017556F" w:rsidP="0017556F">
      <w:pPr>
        <w:widowControl/>
        <w:snapToGrid w:val="0"/>
        <w:ind w:left="720"/>
        <w:rPr>
          <w:rFonts w:ascii="標楷體" w:eastAsia="標楷體" w:hAnsi="標楷體" w:cs="新細明體"/>
          <w:color w:val="000000"/>
          <w:kern w:val="0"/>
          <w:szCs w:val="24"/>
        </w:rPr>
      </w:pPr>
      <w:r w:rsidRPr="0017556F">
        <w:rPr>
          <w:rFonts w:ascii="標楷體" w:eastAsia="標楷體" w:hAnsi="標楷體" w:cs="新細明體" w:hint="eastAsia"/>
          <w:color w:val="000000"/>
          <w:kern w:val="0"/>
          <w:sz w:val="30"/>
          <w:szCs w:val="24"/>
        </w:rPr>
        <w:t xml:space="preserve">　　熱對於燃燒系內及鄰接區域之人員皆具危險性。姑不論任何氧氣消耗或毒害性效應，由火焰產生之熱空氣及氣體，亦能引致燒傷、熱虛脫、脫水及呼吸道閉塞﹝水腫﹞。生存極限之呼吸水平溫度﹝Breathing level temperature﹞約為</w:t>
      </w:r>
      <w:smartTag w:uri="urn:schemas-microsoft-com:office:smarttags" w:element="chmetcnv">
        <w:smartTagPr>
          <w:attr w:name="UnitName" w:val="℃"/>
          <w:attr w:name="SourceValue" w:val="131"/>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131℃</w:t>
        </w:r>
      </w:smartTag>
      <w:r w:rsidRPr="0017556F">
        <w:rPr>
          <w:rFonts w:ascii="標楷體" w:eastAsia="標楷體" w:hAnsi="標楷體" w:cs="新細明體" w:hint="eastAsia"/>
          <w:color w:val="000000"/>
          <w:kern w:val="0"/>
          <w:sz w:val="30"/>
          <w:szCs w:val="24"/>
        </w:rPr>
        <w:t>﹝</w:t>
      </w:r>
      <w:smartTag w:uri="urn:schemas-microsoft-com:office:smarttags" w:element="chmetcnv">
        <w:smartTagPr>
          <w:attr w:name="UnitName" w:val="℉"/>
          <w:attr w:name="SourceValue" w:val="300"/>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300℉</w:t>
        </w:r>
      </w:smartTag>
      <w:r w:rsidRPr="0017556F">
        <w:rPr>
          <w:rFonts w:ascii="標楷體" w:eastAsia="標楷體" w:hAnsi="標楷體" w:cs="新細明體" w:hint="eastAsia"/>
          <w:color w:val="000000"/>
          <w:kern w:val="0"/>
          <w:sz w:val="30"/>
          <w:szCs w:val="24"/>
        </w:rPr>
        <w:t>﹞；但室內氣溫高達</w:t>
      </w:r>
      <w:smartTag w:uri="urn:schemas-microsoft-com:office:smarttags" w:element="chmetcnv">
        <w:smartTagPr>
          <w:attr w:name="UnitName" w:val="℃"/>
          <w:attr w:name="SourceValue" w:val="140"/>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140℃</w:t>
        </w:r>
      </w:smartTag>
      <w:r w:rsidRPr="0017556F">
        <w:rPr>
          <w:rFonts w:ascii="標楷體" w:eastAsia="標楷體" w:hAnsi="標楷體" w:cs="新細明體" w:hint="eastAsia"/>
          <w:color w:val="000000"/>
          <w:kern w:val="0"/>
          <w:sz w:val="30"/>
          <w:szCs w:val="24"/>
        </w:rPr>
        <w:t>時仍能存活短暫時間。又呼吸水平高度Breathing level heigth﹞，從地板向上算起一般約為</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1.5公尺</w:t>
        </w:r>
      </w:smartTag>
      <w:r w:rsidRPr="0017556F">
        <w:rPr>
          <w:rFonts w:ascii="標楷體" w:eastAsia="標楷體" w:hAnsi="標楷體" w:cs="新細明體" w:hint="eastAsia"/>
          <w:color w:val="000000"/>
          <w:kern w:val="0"/>
          <w:sz w:val="30"/>
          <w:szCs w:val="24"/>
        </w:rPr>
        <w:t>﹝5呎﹞以上之距離，有時居室人員中兒童佔有顯著比例時，安全設計上則採用</w:t>
      </w:r>
      <w:smartTag w:uri="urn:schemas-microsoft-com:office:smarttags" w:element="chmetcnv">
        <w:smartTagPr>
          <w:attr w:name="UnitName" w:val="公尺"/>
          <w:attr w:name="SourceValue" w:val="1.2"/>
          <w:attr w:name="HasSpace" w:val="True"/>
          <w:attr w:name="Negative" w:val="False"/>
          <w:attr w:name="NumberType" w:val="1"/>
          <w:attr w:name="TCSC" w:val="0"/>
        </w:smartTagPr>
        <w:r w:rsidRPr="0017556F">
          <w:rPr>
            <w:rFonts w:ascii="標楷體" w:eastAsia="標楷體" w:hAnsi="標楷體" w:cs="新細明體" w:hint="eastAsia"/>
            <w:color w:val="000000"/>
            <w:kern w:val="0"/>
            <w:sz w:val="30"/>
            <w:szCs w:val="24"/>
          </w:rPr>
          <w:t>1.2 公尺</w:t>
        </w:r>
      </w:smartTag>
      <w:r w:rsidRPr="0017556F">
        <w:rPr>
          <w:rFonts w:ascii="標楷體" w:eastAsia="標楷體" w:hAnsi="標楷體" w:cs="新細明體" w:hint="eastAsia"/>
          <w:color w:val="000000"/>
          <w:kern w:val="0"/>
          <w:sz w:val="30"/>
          <w:szCs w:val="24"/>
        </w:rPr>
        <w:t>﹝4呎﹞水平高。對於呼吸而言，超過</w:t>
      </w:r>
      <w:smartTag w:uri="urn:schemas-microsoft-com:office:smarttags" w:element="chmetcnv">
        <w:smartTagPr>
          <w:attr w:name="UnitName" w:val="℃"/>
          <w:attr w:name="SourceValue" w:val="66"/>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66℃</w:t>
        </w:r>
      </w:smartTag>
      <w:r w:rsidRPr="0017556F">
        <w:rPr>
          <w:rFonts w:ascii="標楷體" w:eastAsia="標楷體" w:hAnsi="標楷體" w:cs="新細明體" w:hint="eastAsia"/>
          <w:color w:val="000000"/>
          <w:kern w:val="0"/>
          <w:sz w:val="30"/>
          <w:szCs w:val="24"/>
        </w:rPr>
        <w:t>﹝</w:t>
      </w:r>
      <w:smartTag w:uri="urn:schemas-microsoft-com:office:smarttags" w:element="chmetcnv">
        <w:smartTagPr>
          <w:attr w:name="UnitName" w:val="℉"/>
          <w:attr w:name="SourceValue" w:val="150"/>
          <w:attr w:name="HasSpace" w:val="False"/>
          <w:attr w:name="Negative" w:val="False"/>
          <w:attr w:name="NumberType" w:val="1"/>
          <w:attr w:name="TCSC" w:val="0"/>
        </w:smartTagPr>
        <w:r w:rsidRPr="0017556F">
          <w:rPr>
            <w:rFonts w:ascii="標楷體" w:eastAsia="標楷體" w:hAnsi="標楷體" w:cs="新細明體" w:hint="eastAsia"/>
            <w:color w:val="000000"/>
            <w:kern w:val="0"/>
            <w:sz w:val="30"/>
            <w:szCs w:val="24"/>
          </w:rPr>
          <w:t>150℉</w:t>
        </w:r>
      </w:smartTag>
      <w:r w:rsidRPr="0017556F">
        <w:rPr>
          <w:rFonts w:ascii="標楷體" w:eastAsia="標楷體" w:hAnsi="標楷體" w:cs="新細明體" w:hint="eastAsia"/>
          <w:color w:val="000000"/>
          <w:kern w:val="0"/>
          <w:sz w:val="30"/>
          <w:szCs w:val="24"/>
        </w:rPr>
        <w:t>﹞之溫度便難以忍受，此溫度領域可能會使消防人員救援及室內人員逃生遲緩。</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﹝四﹞毒性氣體﹝Toxic gases﹞</w:t>
      </w:r>
    </w:p>
    <w:p w:rsidR="0017556F" w:rsidRPr="0017556F" w:rsidRDefault="0017556F" w:rsidP="0017556F">
      <w:pPr>
        <w:widowControl/>
        <w:snapToGrid w:val="0"/>
        <w:ind w:left="720"/>
        <w:rPr>
          <w:rFonts w:ascii="標楷體" w:eastAsia="標楷體" w:hAnsi="標楷體" w:cs="新細明體"/>
          <w:color w:val="000000"/>
          <w:kern w:val="0"/>
          <w:szCs w:val="24"/>
        </w:rPr>
      </w:pPr>
      <w:r w:rsidRPr="0017556F">
        <w:rPr>
          <w:rFonts w:ascii="標楷體" w:eastAsia="標楷體" w:hAnsi="標楷體" w:cs="新細明體" w:hint="eastAsia"/>
          <w:color w:val="000000"/>
          <w:kern w:val="0"/>
          <w:sz w:val="30"/>
          <w:szCs w:val="24"/>
        </w:rPr>
        <w:t xml:space="preserve">　　一般高分子材料之熱分解及燃燒生成物成分種類繁雜，有時多達百種以上，然而對人體生理有具體毒性效應之氣體生成物僅是其中一部分，如表１所列舉。這些氣體之毒害性成分基本上可分為三類：</w:t>
      </w:r>
      <w:r w:rsidRPr="0017556F">
        <w:rPr>
          <w:rFonts w:ascii="標楷體" w:eastAsia="標楷體" w:hAnsi="標楷體" w:cs="新細明體" w:hint="eastAsia"/>
          <w:color w:val="000000"/>
          <w:kern w:val="0"/>
          <w:sz w:val="30"/>
          <w:szCs w:val="30"/>
        </w:rPr>
        <w:br/>
      </w:r>
      <w:r w:rsidRPr="0017556F">
        <w:rPr>
          <w:rFonts w:ascii="標楷體" w:eastAsia="標楷體" w:hAnsi="標楷體" w:cs="新細明體" w:hint="eastAsia"/>
          <w:color w:val="000000"/>
          <w:kern w:val="0"/>
          <w:sz w:val="30"/>
          <w:szCs w:val="24"/>
        </w:rPr>
        <w:t xml:space="preserve">　　　１窒息性或昏迷性成分。</w:t>
      </w:r>
      <w:r w:rsidRPr="0017556F">
        <w:rPr>
          <w:rFonts w:ascii="標楷體" w:eastAsia="標楷體" w:hAnsi="標楷體" w:cs="新細明體" w:hint="eastAsia"/>
          <w:color w:val="000000"/>
          <w:kern w:val="0"/>
          <w:sz w:val="30"/>
          <w:szCs w:val="30"/>
        </w:rPr>
        <w:br/>
      </w:r>
      <w:r w:rsidRPr="0017556F">
        <w:rPr>
          <w:rFonts w:ascii="標楷體" w:eastAsia="標楷體" w:hAnsi="標楷體" w:cs="新細明體" w:hint="eastAsia"/>
          <w:color w:val="000000"/>
          <w:kern w:val="0"/>
          <w:sz w:val="30"/>
          <w:szCs w:val="24"/>
        </w:rPr>
        <w:t xml:space="preserve">　　　２對感官或呼吸器官有刺激性之成分。</w:t>
      </w:r>
      <w:r w:rsidRPr="0017556F">
        <w:rPr>
          <w:rFonts w:ascii="標楷體" w:eastAsia="標楷體" w:hAnsi="標楷體" w:cs="新細明體" w:hint="eastAsia"/>
          <w:color w:val="000000"/>
          <w:kern w:val="0"/>
          <w:sz w:val="30"/>
          <w:szCs w:val="30"/>
        </w:rPr>
        <w:br/>
      </w:r>
      <w:r w:rsidRPr="0017556F">
        <w:rPr>
          <w:rFonts w:ascii="標楷體" w:eastAsia="標楷體" w:hAnsi="標楷體" w:cs="新細明體" w:hint="eastAsia"/>
          <w:color w:val="000000"/>
          <w:kern w:val="0"/>
          <w:sz w:val="30"/>
          <w:szCs w:val="24"/>
        </w:rPr>
        <w:t xml:space="preserve">　　　３其他異常毒害性成分。</w:t>
      </w:r>
    </w:p>
    <w:p w:rsidR="0017556F" w:rsidRPr="0017556F" w:rsidRDefault="0017556F" w:rsidP="0017556F">
      <w:pPr>
        <w:widowControl/>
        <w:snapToGrid w:val="0"/>
        <w:spacing w:before="100" w:beforeAutospacing="1" w:after="100" w:afterAutospacing="1"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　　雖從火災死亡統計資料得知，大部分罹難者是因吸入一氧化碳等有害燃燒氣體致死，但有時不宜過於強調，因為沒有一次火災情況是相同的。此外一部分火災試驗也顯示有許多情況下任一毒害氣體尚未到達致死濃度之前，最低存活氧氣濃度或最高呼吸水平溫度即已先行到達。</w:t>
      </w:r>
    </w:p>
    <w:p w:rsidR="0017556F" w:rsidRDefault="0017556F" w:rsidP="0017556F">
      <w:pPr>
        <w:widowControl/>
        <w:snapToGrid w:val="0"/>
        <w:spacing w:before="100" w:beforeAutospacing="1" w:after="100" w:afterAutospacing="1" w:line="360" w:lineRule="atLeast"/>
        <w:ind w:left="720"/>
        <w:rPr>
          <w:rFonts w:ascii="標楷體" w:eastAsia="標楷體" w:hAnsi="標楷體" w:cs="新細明體"/>
          <w:color w:val="000000"/>
          <w:kern w:val="0"/>
          <w:sz w:val="30"/>
          <w:szCs w:val="30"/>
        </w:rPr>
      </w:pPr>
    </w:p>
    <w:p w:rsidR="00C4608C" w:rsidRPr="00C4608C" w:rsidRDefault="00C4608C" w:rsidP="0017556F">
      <w:pPr>
        <w:widowControl/>
        <w:snapToGrid w:val="0"/>
        <w:spacing w:before="100" w:beforeAutospacing="1" w:after="100" w:afterAutospacing="1" w:line="360" w:lineRule="atLeast"/>
        <w:ind w:left="720"/>
        <w:rPr>
          <w:rFonts w:ascii="標楷體" w:eastAsia="標楷體" w:hAnsi="標楷體" w:cs="新細明體"/>
          <w:color w:val="000000"/>
          <w:kern w:val="0"/>
          <w:sz w:val="30"/>
          <w:szCs w:val="30"/>
        </w:rPr>
      </w:pPr>
    </w:p>
    <w:tbl>
      <w:tblPr>
        <w:tblW w:w="5000" w:type="pct"/>
        <w:jc w:val="center"/>
        <w:tblCellSpacing w:w="7" w:type="dxa"/>
        <w:tblBorders>
          <w:top w:val="outset" w:sz="6" w:space="0" w:color="0099CC"/>
          <w:left w:val="outset" w:sz="6" w:space="0" w:color="0099CC"/>
          <w:bottom w:val="outset" w:sz="6" w:space="0" w:color="0099CC"/>
          <w:right w:val="outset" w:sz="6" w:space="0" w:color="0099CC"/>
        </w:tblBorders>
        <w:tblCellMar>
          <w:left w:w="0" w:type="dxa"/>
          <w:right w:w="0" w:type="dxa"/>
        </w:tblCellMar>
        <w:tblLook w:val="04A0" w:firstRow="1" w:lastRow="0" w:firstColumn="1" w:lastColumn="0" w:noHBand="0" w:noVBand="1"/>
      </w:tblPr>
      <w:tblGrid>
        <w:gridCol w:w="2670"/>
        <w:gridCol w:w="10552"/>
      </w:tblGrid>
      <w:tr w:rsidR="0017556F" w:rsidRPr="0017556F" w:rsidTr="0017556F">
        <w:trPr>
          <w:trHeight w:val="330"/>
          <w:tblCellSpacing w:w="7" w:type="dxa"/>
          <w:jc w:val="center"/>
        </w:trPr>
        <w:tc>
          <w:tcPr>
            <w:tcW w:w="0" w:type="auto"/>
            <w:gridSpan w:val="2"/>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表１　有機高分子材料燃燒產生之毒性氣體</w:t>
            </w:r>
          </w:p>
        </w:tc>
      </w:tr>
      <w:tr w:rsidR="0017556F" w:rsidRPr="0017556F" w:rsidTr="0017556F">
        <w:trPr>
          <w:trHeight w:val="330"/>
          <w:tblCellSpacing w:w="7" w:type="dxa"/>
          <w:jc w:val="center"/>
        </w:trPr>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成　份</w:t>
            </w:r>
          </w:p>
        </w:tc>
        <w:tc>
          <w:tcPr>
            <w:tcW w:w="0" w:type="auto"/>
            <w:tcBorders>
              <w:top w:val="outset" w:sz="6" w:space="0" w:color="0099CC"/>
              <w:left w:val="outset" w:sz="6" w:space="0" w:color="0099CC"/>
              <w:bottom w:val="outset" w:sz="6" w:space="0" w:color="0099CC"/>
              <w:right w:val="outset" w:sz="6" w:space="0" w:color="0099CC"/>
            </w:tcBorders>
            <w:shd w:val="clear" w:color="auto" w:fill="F0F0F0"/>
            <w:vAlign w:val="center"/>
            <w:hideMark/>
          </w:tcPr>
          <w:p w:rsidR="0017556F" w:rsidRPr="0017556F" w:rsidRDefault="0017556F" w:rsidP="0017556F">
            <w:pPr>
              <w:widowControl/>
              <w:spacing w:line="360" w:lineRule="atLeast"/>
              <w:jc w:val="center"/>
              <w:rPr>
                <w:rFonts w:ascii="標楷體" w:eastAsia="標楷體" w:hAnsi="標楷體" w:cs="新細明體"/>
                <w:b/>
                <w:bCs/>
                <w:color w:val="000000"/>
                <w:kern w:val="0"/>
                <w:sz w:val="30"/>
                <w:szCs w:val="30"/>
              </w:rPr>
            </w:pPr>
            <w:r w:rsidRPr="0017556F">
              <w:rPr>
                <w:rFonts w:ascii="標楷體" w:eastAsia="標楷體" w:hAnsi="標楷體" w:cs="新細明體" w:hint="eastAsia"/>
                <w:b/>
                <w:bCs/>
                <w:color w:val="000000"/>
                <w:kern w:val="0"/>
                <w:sz w:val="30"/>
                <w:szCs w:val="30"/>
              </w:rPr>
              <w:t>來　源　材　料</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CO , CO</w:t>
            </w:r>
            <w:r w:rsidRPr="0017556F">
              <w:rPr>
                <w:rFonts w:ascii="標楷體" w:eastAsia="標楷體" w:hAnsi="標楷體" w:cs="新細明體" w:hint="eastAsia"/>
                <w:color w:val="000000"/>
                <w:kern w:val="0"/>
                <w:szCs w:val="24"/>
                <w:vertAlign w:val="subscript"/>
              </w:rPr>
              <w:t>2</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所有有機高分子材料</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HCN, NO, NO</w:t>
            </w:r>
            <w:r w:rsidRPr="0017556F">
              <w:rPr>
                <w:rFonts w:ascii="標楷體" w:eastAsia="標楷體" w:hAnsi="標楷體" w:cs="新細明體" w:hint="eastAsia"/>
                <w:color w:val="000000"/>
                <w:kern w:val="0"/>
                <w:szCs w:val="24"/>
                <w:vertAlign w:val="subscript"/>
              </w:rPr>
              <w:t>2</w:t>
            </w:r>
            <w:r w:rsidRPr="0017556F">
              <w:rPr>
                <w:rFonts w:ascii="標楷體" w:eastAsia="標楷體" w:hAnsi="標楷體" w:cs="新細明體" w:hint="eastAsia"/>
                <w:color w:val="000000"/>
                <w:kern w:val="0"/>
                <w:sz w:val="30"/>
                <w:szCs w:val="30"/>
              </w:rPr>
              <w:t>, NH</w:t>
            </w:r>
            <w:r w:rsidRPr="0017556F">
              <w:rPr>
                <w:rFonts w:ascii="標楷體" w:eastAsia="標楷體" w:hAnsi="標楷體" w:cs="新細明體" w:hint="eastAsia"/>
                <w:color w:val="000000"/>
                <w:kern w:val="0"/>
                <w:szCs w:val="24"/>
                <w:vertAlign w:val="subscript"/>
              </w:rPr>
              <w:t>3</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羊毛，皮革，聚丙烯睛﹝PAN﹞，聚尿酯﹝PU﹞，耐龍，胺基樹脂………等</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SO</w:t>
            </w:r>
            <w:r w:rsidRPr="0017556F">
              <w:rPr>
                <w:rFonts w:ascii="標楷體" w:eastAsia="標楷體" w:hAnsi="標楷體" w:cs="新細明體" w:hint="eastAsia"/>
                <w:color w:val="000000"/>
                <w:kern w:val="0"/>
                <w:szCs w:val="24"/>
                <w:vertAlign w:val="subscript"/>
              </w:rPr>
              <w:t>2</w:t>
            </w:r>
            <w:r w:rsidRPr="0017556F">
              <w:rPr>
                <w:rFonts w:ascii="標楷體" w:eastAsia="標楷體" w:hAnsi="標楷體" w:cs="新細明體" w:hint="eastAsia"/>
                <w:color w:val="000000"/>
                <w:kern w:val="0"/>
                <w:sz w:val="30"/>
                <w:szCs w:val="30"/>
              </w:rPr>
              <w:t>, H</w:t>
            </w:r>
            <w:r w:rsidRPr="0017556F">
              <w:rPr>
                <w:rFonts w:ascii="標楷體" w:eastAsia="標楷體" w:hAnsi="標楷體" w:cs="新細明體" w:hint="eastAsia"/>
                <w:color w:val="000000"/>
                <w:kern w:val="0"/>
                <w:szCs w:val="24"/>
                <w:vertAlign w:val="subscript"/>
              </w:rPr>
              <w:t>2</w:t>
            </w:r>
            <w:r w:rsidRPr="0017556F">
              <w:rPr>
                <w:rFonts w:ascii="標楷體" w:eastAsia="標楷體" w:hAnsi="標楷體" w:cs="新細明體" w:hint="eastAsia"/>
                <w:color w:val="000000"/>
                <w:kern w:val="0"/>
                <w:sz w:val="30"/>
                <w:szCs w:val="30"/>
              </w:rPr>
              <w:t xml:space="preserve">S, </w:t>
            </w:r>
            <w:smartTag w:uri="urn:schemas-microsoft-com:office:smarttags" w:element="place">
              <w:r w:rsidRPr="0017556F">
                <w:rPr>
                  <w:rFonts w:ascii="標楷體" w:eastAsia="標楷體" w:hAnsi="標楷體" w:cs="新細明體" w:hint="eastAsia"/>
                  <w:color w:val="000000"/>
                  <w:kern w:val="0"/>
                  <w:sz w:val="30"/>
                  <w:szCs w:val="30"/>
                </w:rPr>
                <w:t>COS</w:t>
              </w:r>
            </w:smartTag>
            <w:r w:rsidRPr="0017556F">
              <w:rPr>
                <w:rFonts w:ascii="標楷體" w:eastAsia="標楷體" w:hAnsi="標楷體" w:cs="新細明體" w:hint="eastAsia"/>
                <w:color w:val="000000"/>
                <w:kern w:val="0"/>
                <w:sz w:val="30"/>
                <w:szCs w:val="30"/>
              </w:rPr>
              <w:t>, CS</w:t>
            </w:r>
            <w:r w:rsidRPr="0017556F">
              <w:rPr>
                <w:rFonts w:ascii="標楷體" w:eastAsia="標楷體" w:hAnsi="標楷體" w:cs="新細明體" w:hint="eastAsia"/>
                <w:color w:val="000000"/>
                <w:kern w:val="0"/>
                <w:szCs w:val="24"/>
                <w:vertAlign w:val="subscript"/>
              </w:rPr>
              <w:t>2</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硫化橡膠，含硫高分子材料，羊毛</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HCl, HF, HBr</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聚氯乙烯﹝PVC﹞、含鹵素防火劑高分子材料，聚四氟乙烯﹝PTFE﹞</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烷，烯</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聚烯類及許多其化分子</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苯</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聚苯乙烯，聚氯乙烯，聚酯等</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酚，醛</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酚醛樹脂</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丙烯醛</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木材，紙</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甲醛</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聚縮醛</w:t>
            </w:r>
          </w:p>
        </w:tc>
      </w:tr>
      <w:tr w:rsidR="0017556F" w:rsidRPr="0017556F" w:rsidTr="0017556F">
        <w:trPr>
          <w:tblCellSpacing w:w="7" w:type="dxa"/>
          <w:jc w:val="center"/>
        </w:trPr>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甲酸，乙酸</w:t>
            </w:r>
          </w:p>
        </w:tc>
        <w:tc>
          <w:tcPr>
            <w:tcW w:w="0" w:type="auto"/>
            <w:tcBorders>
              <w:top w:val="outset" w:sz="6" w:space="0" w:color="0099CC"/>
              <w:left w:val="outset" w:sz="6" w:space="0" w:color="0099CC"/>
              <w:bottom w:val="outset" w:sz="6" w:space="0" w:color="0099CC"/>
              <w:right w:val="outset" w:sz="6" w:space="0" w:color="0099CC"/>
            </w:tcBorders>
            <w:vAlign w:val="center"/>
            <w:hideMark/>
          </w:tcPr>
          <w:p w:rsidR="0017556F" w:rsidRPr="0017556F" w:rsidRDefault="0017556F" w:rsidP="0017556F">
            <w:pPr>
              <w:widowControl/>
              <w:spacing w:line="360" w:lineRule="atLeast"/>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纖維素纖維織品</w:t>
            </w:r>
          </w:p>
        </w:tc>
      </w:tr>
    </w:tbl>
    <w:p w:rsidR="0017556F" w:rsidRPr="0017556F" w:rsidRDefault="0017556F" w:rsidP="0017556F">
      <w:pPr>
        <w:widowControl/>
        <w:snapToGrid w:val="0"/>
        <w:ind w:left="720"/>
        <w:jc w:val="center"/>
        <w:rPr>
          <w:rFonts w:ascii="標楷體" w:eastAsia="標楷體" w:hAnsi="標楷體" w:cs="新細明體"/>
          <w:color w:val="000000"/>
          <w:kern w:val="0"/>
          <w:szCs w:val="24"/>
        </w:rPr>
      </w:pP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﹝五﹞煙﹝Smoke﹞ </w:t>
      </w:r>
    </w:p>
    <w:p w:rsidR="0017556F" w:rsidRPr="0017556F" w:rsidRDefault="0017556F" w:rsidP="0017556F">
      <w:pPr>
        <w:widowControl/>
        <w:snapToGrid w:val="0"/>
        <w:ind w:left="720"/>
        <w:rPr>
          <w:rFonts w:ascii="標楷體" w:eastAsia="標楷體" w:hAnsi="標楷體" w:cs="新細明體"/>
          <w:color w:val="000000"/>
          <w:kern w:val="0"/>
          <w:szCs w:val="24"/>
        </w:rPr>
      </w:pPr>
      <w:r w:rsidRPr="0017556F">
        <w:rPr>
          <w:rFonts w:ascii="標楷體" w:eastAsia="標楷體" w:hAnsi="標楷體" w:cs="新細明體" w:hint="eastAsia"/>
          <w:color w:val="000000"/>
          <w:kern w:val="0"/>
          <w:sz w:val="30"/>
          <w:szCs w:val="24"/>
        </w:rPr>
        <w:t xml:space="preserve">　　煙之定義為"材料發生燃燒或熱分解時所釋放出散播於空氣中之固態，液態微粒及氣體"。煙是火災燃燒過程中一項重要的產物，因為能見度﹝Visibility﹞是避難者能否逃出發生火災之建築物，以及消防人員能否找出火災、撲滅火災的影響因素。煙會助長驚慌狀況，因為它有視線遮蔽及刺激效應。在許多情況，逃生途徑上煙往往比溫度更早達到令人難以忍受程度。 </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﹝六﹞結構強度衰減﹝Structural strength reduction﹞ </w:t>
      </w:r>
    </w:p>
    <w:p w:rsidR="0017556F" w:rsidRPr="0017556F" w:rsidRDefault="0017556F" w:rsidP="0017556F">
      <w:pPr>
        <w:widowControl/>
        <w:snapToGrid w:val="0"/>
        <w:spacing w:line="360" w:lineRule="atLeast"/>
        <w:ind w:left="720"/>
        <w:rPr>
          <w:rFonts w:ascii="標楷體" w:eastAsia="標楷體" w:hAnsi="標楷體" w:cs="新細明體"/>
          <w:color w:val="000000"/>
          <w:kern w:val="0"/>
          <w:sz w:val="30"/>
          <w:szCs w:val="30"/>
        </w:rPr>
      </w:pPr>
      <w:r w:rsidRPr="0017556F">
        <w:rPr>
          <w:rFonts w:ascii="標楷體" w:eastAsia="標楷體" w:hAnsi="標楷體" w:cs="新細明體" w:hint="eastAsia"/>
          <w:color w:val="000000"/>
          <w:kern w:val="0"/>
          <w:sz w:val="30"/>
          <w:szCs w:val="30"/>
        </w:rPr>
        <w:t xml:space="preserve">　　因熱害﹝Heat damage﹞火燒造成建築物之結構組件破壞具有明顯潛在危險性。可能發生清況有脆弱化，地板承受不起人員重量，或牆壁、屋頂崩塌。另外，火災對結構之破壞，有時不易單從外觀察覺，因此火災後結構強度衰減程度的評估相當重要。建築物因結構受火害而崩塌毀壞的情況不多，但不可輕忽建築物受到第二次外來災害﹝如地震﹞可能發生之危險。 </w:t>
      </w:r>
    </w:p>
    <w:p w:rsidR="0017556F" w:rsidRPr="0017556F" w:rsidRDefault="0017556F" w:rsidP="0017556F">
      <w:pPr>
        <w:widowControl/>
        <w:snapToGrid w:val="0"/>
        <w:spacing w:before="100" w:beforeAutospacing="1" w:after="100" w:afterAutospacing="1" w:line="360" w:lineRule="atLeast"/>
        <w:rPr>
          <w:rFonts w:ascii="標楷體" w:eastAsia="標楷體" w:hAnsi="標楷體" w:cs="新細明體"/>
          <w:color w:val="000000"/>
          <w:kern w:val="0"/>
          <w:sz w:val="30"/>
          <w:szCs w:val="30"/>
        </w:rPr>
      </w:pPr>
    </w:p>
    <w:p w:rsidR="00293192" w:rsidRPr="00F8308C" w:rsidRDefault="0017556F" w:rsidP="00F8308C">
      <w:pPr>
        <w:snapToGrid w:val="0"/>
        <w:rPr>
          <w:rFonts w:ascii="標楷體" w:eastAsia="標楷體" w:hAnsi="標楷體" w:cs="Times New Roman" w:hint="eastAsia"/>
          <w:szCs w:val="24"/>
        </w:rPr>
      </w:pPr>
      <w:r w:rsidRPr="0017556F">
        <w:rPr>
          <w:rFonts w:ascii="標楷體" w:eastAsia="標楷體" w:hAnsi="標楷體" w:cs="Times New Roman" w:hint="eastAsia"/>
          <w:b/>
          <w:bCs/>
          <w:color w:val="0000FF"/>
          <w:szCs w:val="24"/>
          <w:shd w:val="clear" w:color="auto" w:fill="FFFFFF"/>
        </w:rPr>
        <w:t xml:space="preserve">  ~~感謝高雄市政府消防局南區救災救護大隊第一中隊提供資料~~</w:t>
      </w:r>
      <w:bookmarkStart w:id="0" w:name="_GoBack"/>
      <w:bookmarkEnd w:id="0"/>
    </w:p>
    <w:sectPr w:rsidR="00293192" w:rsidRPr="00F8308C" w:rsidSect="0017556F">
      <w:pgSz w:w="16838" w:h="23811" w:code="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DE" w:rsidRDefault="00E555DE" w:rsidP="0017556F">
      <w:r>
        <w:separator/>
      </w:r>
    </w:p>
  </w:endnote>
  <w:endnote w:type="continuationSeparator" w:id="0">
    <w:p w:rsidR="00E555DE" w:rsidRDefault="00E555DE" w:rsidP="0017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DE" w:rsidRDefault="00E555DE" w:rsidP="0017556F">
      <w:r>
        <w:separator/>
      </w:r>
    </w:p>
  </w:footnote>
  <w:footnote w:type="continuationSeparator" w:id="0">
    <w:p w:rsidR="00E555DE" w:rsidRDefault="00E555DE" w:rsidP="0017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47A"/>
    <w:rsid w:val="000635DD"/>
    <w:rsid w:val="0017556F"/>
    <w:rsid w:val="00293192"/>
    <w:rsid w:val="0046647A"/>
    <w:rsid w:val="00C4608C"/>
    <w:rsid w:val="00E555DE"/>
    <w:rsid w:val="00F83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hmetcnv"/>
  <w:shapeDefaults>
    <o:shapedefaults v:ext="edit" spidmax="2049"/>
    <o:shapelayout v:ext="edit">
      <o:idmap v:ext="edit" data="1"/>
    </o:shapelayout>
  </w:shapeDefaults>
  <w:decimalSymbol w:val="."/>
  <w:listSeparator w:val=","/>
  <w14:docId w14:val="1CE2EB6E"/>
  <w15:chartTrackingRefBased/>
  <w15:docId w15:val="{36F643B7-6592-4C0F-B49C-FD5504E76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556F"/>
    <w:pPr>
      <w:tabs>
        <w:tab w:val="center" w:pos="4153"/>
        <w:tab w:val="right" w:pos="8306"/>
      </w:tabs>
      <w:snapToGrid w:val="0"/>
    </w:pPr>
    <w:rPr>
      <w:sz w:val="20"/>
      <w:szCs w:val="20"/>
    </w:rPr>
  </w:style>
  <w:style w:type="character" w:customStyle="1" w:styleId="a4">
    <w:name w:val="頁首 字元"/>
    <w:basedOn w:val="a0"/>
    <w:link w:val="a3"/>
    <w:uiPriority w:val="99"/>
    <w:rsid w:val="0017556F"/>
    <w:rPr>
      <w:sz w:val="20"/>
      <w:szCs w:val="20"/>
    </w:rPr>
  </w:style>
  <w:style w:type="paragraph" w:styleId="a5">
    <w:name w:val="footer"/>
    <w:basedOn w:val="a"/>
    <w:link w:val="a6"/>
    <w:uiPriority w:val="99"/>
    <w:unhideWhenUsed/>
    <w:rsid w:val="0017556F"/>
    <w:pPr>
      <w:tabs>
        <w:tab w:val="center" w:pos="4153"/>
        <w:tab w:val="right" w:pos="8306"/>
      </w:tabs>
      <w:snapToGrid w:val="0"/>
    </w:pPr>
    <w:rPr>
      <w:sz w:val="20"/>
      <w:szCs w:val="20"/>
    </w:rPr>
  </w:style>
  <w:style w:type="character" w:customStyle="1" w:styleId="a6">
    <w:name w:val="頁尾 字元"/>
    <w:basedOn w:val="a0"/>
    <w:link w:val="a5"/>
    <w:uiPriority w:val="99"/>
    <w:rsid w:val="0017556F"/>
    <w:rPr>
      <w:sz w:val="20"/>
      <w:szCs w:val="20"/>
    </w:rPr>
  </w:style>
  <w:style w:type="paragraph" w:styleId="Web">
    <w:name w:val="Normal (Web)"/>
    <w:basedOn w:val="a"/>
    <w:uiPriority w:val="99"/>
    <w:semiHidden/>
    <w:unhideWhenUsed/>
    <w:rsid w:val="0017556F"/>
    <w:pPr>
      <w:widowControl/>
      <w:spacing w:before="100" w:beforeAutospacing="1" w:after="100" w:afterAutospacing="1"/>
    </w:pPr>
    <w:rPr>
      <w:rFonts w:ascii="新細明體" w:eastAsia="新細明體" w:hAnsi="Times New Roman" w:cs="新細明體"/>
      <w:color w:val="000000"/>
      <w:kern w:val="0"/>
      <w:szCs w:val="24"/>
    </w:rPr>
  </w:style>
  <w:style w:type="paragraph" w:customStyle="1" w:styleId="text04">
    <w:name w:val="text04"/>
    <w:basedOn w:val="a"/>
    <w:rsid w:val="0017556F"/>
    <w:pPr>
      <w:widowControl/>
      <w:spacing w:before="100" w:beforeAutospacing="1" w:after="100" w:afterAutospacing="1"/>
    </w:pPr>
    <w:rPr>
      <w:rFonts w:ascii="新細明體" w:eastAsia="新細明體" w:hAnsi="Times New Roman" w:cs="新細明體"/>
      <w:b/>
      <w:bCs/>
      <w:color w:val="FF0000"/>
      <w:kern w:val="0"/>
      <w:sz w:val="28"/>
      <w:szCs w:val="28"/>
    </w:rPr>
  </w:style>
  <w:style w:type="paragraph" w:customStyle="1" w:styleId="text">
    <w:name w:val="text"/>
    <w:basedOn w:val="a"/>
    <w:rsid w:val="0017556F"/>
    <w:pPr>
      <w:widowControl/>
      <w:spacing w:before="100" w:beforeAutospacing="1" w:after="100" w:afterAutospacing="1" w:line="360" w:lineRule="atLeast"/>
    </w:pPr>
    <w:rPr>
      <w:rFonts w:ascii="新細明體" w:eastAsia="新細明體" w:hAnsi="Times New Roman" w:cs="新細明體"/>
      <w:color w:val="000000"/>
      <w:kern w:val="0"/>
      <w:sz w:val="30"/>
      <w:szCs w:val="30"/>
    </w:rPr>
  </w:style>
  <w:style w:type="character" w:customStyle="1" w:styleId="text1">
    <w:name w:val="text1"/>
    <w:basedOn w:val="a0"/>
    <w:rsid w:val="0017556F"/>
    <w:rPr>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1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2017-11-27T02:25:00Z</dcterms:created>
  <dcterms:modified xsi:type="dcterms:W3CDTF">2017-12-02T12:25:00Z</dcterms:modified>
</cp:coreProperties>
</file>