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B5" w:rsidRPr="001417B5" w:rsidRDefault="001417B5" w:rsidP="001417B5">
      <w:pPr>
        <w:widowControl/>
        <w:rPr>
          <w:rFonts w:ascii="新細明體" w:eastAsia="新細明體" w:hAnsi="新細明體" w:cs="新細明體"/>
          <w:kern w:val="0"/>
          <w:szCs w:val="24"/>
        </w:rPr>
      </w:pPr>
      <w:r w:rsidRPr="001417B5">
        <w:rPr>
          <w:rFonts w:ascii="新細明體" w:eastAsia="新細明體" w:hAnsi="新細明體" w:cs="新細明體"/>
          <w:kern w:val="0"/>
          <w:szCs w:val="24"/>
        </w:rPr>
        <w:t>Q1</w:t>
      </w:r>
      <w:r w:rsidRPr="001417B5">
        <w:rPr>
          <w:rFonts w:ascii="新細明體" w:eastAsia="新細明體" w:hAnsi="新細明體" w:cs="新細明體"/>
          <w:b/>
          <w:bCs/>
          <w:kern w:val="0"/>
          <w:szCs w:val="24"/>
        </w:rPr>
        <w:t>押金與訂金的問題</w:t>
      </w:r>
    </w:p>
    <w:tbl>
      <w:tblPr>
        <w:tblW w:w="0" w:type="auto"/>
        <w:tblCellSpacing w:w="0" w:type="dxa"/>
        <w:tblCellMar>
          <w:left w:w="0" w:type="dxa"/>
          <w:right w:w="0" w:type="dxa"/>
        </w:tblCellMar>
        <w:tblLook w:val="04A0" w:firstRow="1" w:lastRow="0" w:firstColumn="1" w:lastColumn="0" w:noHBand="0" w:noVBand="1"/>
      </w:tblPr>
      <w:tblGrid>
        <w:gridCol w:w="13238"/>
      </w:tblGrid>
      <w:tr w:rsidR="001417B5" w:rsidRPr="001417B5" w:rsidTr="001417B5">
        <w:trPr>
          <w:tblCellSpacing w:w="0" w:type="dxa"/>
        </w:trPr>
        <w:tc>
          <w:tcPr>
            <w:tcW w:w="12885" w:type="dxa"/>
            <w:vAlign w:val="center"/>
            <w:hideMark/>
          </w:tcPr>
          <w:p w:rsidR="001417B5" w:rsidRPr="001417B5" w:rsidRDefault="001417B5" w:rsidP="001417B5">
            <w:pPr>
              <w:widowControl/>
              <w:rPr>
                <w:rFonts w:ascii="Arial" w:eastAsia="新細明體" w:hAnsi="Arial" w:cs="Arial"/>
                <w:color w:val="666666"/>
                <w:kern w:val="0"/>
                <w:sz w:val="17"/>
                <w:szCs w:val="17"/>
              </w:rPr>
            </w:pPr>
            <w:r w:rsidRPr="001417B5">
              <w:rPr>
                <w:rFonts w:ascii="Arial" w:eastAsia="新細明體" w:hAnsi="Arial" w:cs="Arial"/>
                <w:color w:val="666666"/>
                <w:kern w:val="0"/>
                <w:sz w:val="17"/>
                <w:szCs w:val="17"/>
              </w:rPr>
              <w:t> </w:t>
            </w:r>
          </w:p>
        </w:tc>
      </w:tr>
      <w:tr w:rsidR="001417B5" w:rsidRPr="001417B5" w:rsidTr="001417B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95"/>
              <w:gridCol w:w="8643"/>
            </w:tblGrid>
            <w:tr w:rsidR="00DE1341" w:rsidRPr="00DE1341">
              <w:trPr>
                <w:tblCellSpacing w:w="0" w:type="dxa"/>
              </w:trPr>
              <w:tc>
                <w:tcPr>
                  <w:tcW w:w="0" w:type="auto"/>
                  <w:gridSpan w:val="2"/>
                  <w:shd w:val="clear" w:color="auto" w:fill="6633CC"/>
                  <w:vAlign w:val="center"/>
                  <w:hideMark/>
                </w:tcPr>
                <w:p w:rsidR="001417B5" w:rsidRPr="00DE1341" w:rsidRDefault="001417B5" w:rsidP="001417B5">
                  <w:pPr>
                    <w:widowControl/>
                    <w:jc w:val="center"/>
                    <w:rPr>
                      <w:rFonts w:ascii="Arial" w:eastAsia="新細明體" w:hAnsi="Arial" w:cs="Arial"/>
                      <w:kern w:val="0"/>
                      <w:sz w:val="17"/>
                      <w:szCs w:val="17"/>
                    </w:rPr>
                  </w:pPr>
                  <w:r w:rsidRPr="00DE1341">
                    <w:rPr>
                      <w:rFonts w:ascii="Arial" w:eastAsia="新細明體" w:hAnsi="Arial" w:cs="Arial"/>
                      <w:kern w:val="0"/>
                      <w:sz w:val="17"/>
                      <w:szCs w:val="17"/>
                    </w:rPr>
                    <w:t>Q1</w:t>
                  </w:r>
                </w:p>
              </w:tc>
            </w:tr>
            <w:tr w:rsidR="00DE1341" w:rsidRPr="00DE1341">
              <w:trPr>
                <w:trHeight w:val="1320"/>
                <w:tblCellSpacing w:w="0" w:type="dxa"/>
              </w:trPr>
              <w:tc>
                <w:tcPr>
                  <w:tcW w:w="950" w:type="pct"/>
                  <w:shd w:val="clear" w:color="auto" w:fill="FFFFCC"/>
                  <w:vAlign w:val="center"/>
                  <w:hideMark/>
                </w:tcPr>
                <w:p w:rsidR="001417B5" w:rsidRPr="00DE1341" w:rsidRDefault="001417B5" w:rsidP="001417B5">
                  <w:pPr>
                    <w:widowControl/>
                    <w:rPr>
                      <w:rFonts w:ascii="Arial" w:eastAsia="新細明體" w:hAnsi="Arial" w:cs="Arial"/>
                      <w:kern w:val="0"/>
                      <w:sz w:val="27"/>
                      <w:szCs w:val="27"/>
                    </w:rPr>
                  </w:pPr>
                  <w:r w:rsidRPr="00DE1341">
                    <w:rPr>
                      <w:rFonts w:ascii="Arial" w:eastAsia="新細明體" w:hAnsi="Arial" w:cs="Arial"/>
                      <w:b/>
                      <w:bCs/>
                      <w:kern w:val="0"/>
                      <w:sz w:val="27"/>
                      <w:szCs w:val="27"/>
                    </w:rPr>
                    <w:t>定金、押金、租金三者有什麼不同？</w:t>
                  </w:r>
                </w:p>
              </w:tc>
              <w:tc>
                <w:tcPr>
                  <w:tcW w:w="0" w:type="auto"/>
                  <w:shd w:val="clear" w:color="auto" w:fill="FFFFCC"/>
                  <w:vAlign w:val="center"/>
                  <w:hideMark/>
                </w:tcPr>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br/>
                  </w:r>
                  <w:r w:rsidRPr="00DE1341">
                    <w:rPr>
                      <w:rFonts w:ascii="Arial" w:eastAsia="新細明體" w:hAnsi="Arial" w:cs="Arial"/>
                      <w:kern w:val="0"/>
                      <w:sz w:val="27"/>
                      <w:szCs w:val="27"/>
                    </w:rPr>
                    <w:t>『定金』：是契約履行前的一種承諾，通常是在看屋後房客有意承租，房東亦願出租給他，房客會預先付給房東一定數量的金額，用來肯定雙方均會履行租約的一種承諾。民法第</w:t>
                  </w:r>
                  <w:r w:rsidRPr="00DE1341">
                    <w:rPr>
                      <w:rFonts w:ascii="Arial" w:eastAsia="新細明體" w:hAnsi="Arial" w:cs="Arial"/>
                      <w:kern w:val="0"/>
                      <w:sz w:val="27"/>
                      <w:szCs w:val="27"/>
                    </w:rPr>
                    <w:t>248</w:t>
                  </w:r>
                  <w:r w:rsidRPr="00DE1341">
                    <w:rPr>
                      <w:rFonts w:ascii="Arial" w:eastAsia="新細明體" w:hAnsi="Arial" w:cs="Arial"/>
                      <w:kern w:val="0"/>
                      <w:sz w:val="27"/>
                      <w:szCs w:val="27"/>
                    </w:rPr>
                    <w:t>條規定：「訂約當事人之一方，由他人受有定金時，推定其契約成立。」</w:t>
                  </w:r>
                </w:p>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『押金』：在法律上正式名稱為『押租金』，而通常一般又稱之為押金、保證金、擔保金</w:t>
                  </w:r>
                  <w:r w:rsidRPr="00DE1341">
                    <w:rPr>
                      <w:rFonts w:ascii="Arial" w:eastAsia="新細明體" w:hAnsi="Arial" w:cs="Arial"/>
                      <w:kern w:val="0"/>
                      <w:sz w:val="27"/>
                      <w:szCs w:val="27"/>
                    </w:rPr>
                    <w:t>…</w:t>
                  </w:r>
                  <w:r w:rsidRPr="00DE1341">
                    <w:rPr>
                      <w:rFonts w:ascii="Arial" w:eastAsia="新細明體" w:hAnsi="Arial" w:cs="Arial"/>
                      <w:kern w:val="0"/>
                      <w:sz w:val="27"/>
                      <w:szCs w:val="27"/>
                    </w:rPr>
                    <w:t>等，其目的是為了擔保房客租金的給付、房客對房子所造成損害的賠償，以及在租約期滿時房客按時返還房子</w:t>
                  </w:r>
                </w:p>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『租金』：向房東承租房子，必須定期支付的金額，直到租期期滿為止，通常有每月一付、每季一付、每學期一付等等定期支付方式。</w:t>
                  </w:r>
                </w:p>
              </w:tc>
            </w:tr>
            <w:tr w:rsidR="00DE1341" w:rsidRPr="00DE1341">
              <w:trPr>
                <w:tblCellSpacing w:w="0" w:type="dxa"/>
              </w:trPr>
              <w:tc>
                <w:tcPr>
                  <w:tcW w:w="0" w:type="auto"/>
                  <w:shd w:val="clear" w:color="auto" w:fill="CCFF99"/>
                  <w:noWrap/>
                  <w:hideMark/>
                </w:tcPr>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w:t>
                  </w:r>
                </w:p>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w:t>
                  </w:r>
                </w:p>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b/>
                      <w:bCs/>
                      <w:kern w:val="0"/>
                      <w:sz w:val="27"/>
                      <w:szCs w:val="27"/>
                    </w:rPr>
                    <w:t>押金、定金各該收多少才合理？</w:t>
                  </w:r>
                </w:p>
              </w:tc>
              <w:tc>
                <w:tcPr>
                  <w:tcW w:w="0" w:type="auto"/>
                  <w:shd w:val="clear" w:color="auto" w:fill="CCFF99"/>
                  <w:vAlign w:val="center"/>
                  <w:hideMark/>
                </w:tcPr>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『押金』：</w:t>
                  </w:r>
                  <w:r w:rsidRPr="00DE1341">
                    <w:rPr>
                      <w:rFonts w:ascii="Arial" w:eastAsia="新細明體" w:hAnsi="Arial" w:cs="Arial"/>
                      <w:kern w:val="0"/>
                      <w:sz w:val="27"/>
                      <w:szCs w:val="27"/>
                    </w:rPr>
                    <w:br/>
                  </w:r>
                  <w:r w:rsidRPr="00DE1341">
                    <w:rPr>
                      <w:rFonts w:ascii="Arial" w:eastAsia="新細明體" w:hAnsi="Arial" w:cs="Arial"/>
                      <w:kern w:val="0"/>
                      <w:sz w:val="27"/>
                      <w:szCs w:val="27"/>
                    </w:rPr>
                    <w:t>雖然一般民間偶有收三個月押金甚至更高之習慣，但依據土地法第</w:t>
                  </w:r>
                  <w:r w:rsidRPr="00DE1341">
                    <w:rPr>
                      <w:rFonts w:ascii="Arial" w:eastAsia="新細明體" w:hAnsi="Arial" w:cs="Arial"/>
                      <w:kern w:val="0"/>
                      <w:sz w:val="27"/>
                      <w:szCs w:val="27"/>
                    </w:rPr>
                    <w:t>99</w:t>
                  </w:r>
                  <w:r w:rsidRPr="00DE1341">
                    <w:rPr>
                      <w:rFonts w:ascii="Arial" w:eastAsia="新細明體" w:hAnsi="Arial" w:cs="Arial"/>
                      <w:kern w:val="0"/>
                      <w:sz w:val="27"/>
                      <w:szCs w:val="27"/>
                    </w:rPr>
                    <w:t>條的規定，押金不得超過租金的二倍（即二個月相當金額），超過的部分房客有權利對房東主張用來抵付房租。不過，在實際運用上，房客行使抵付房租之權利時，應先向房東知會、與房東妥善溝通，避免紛爭。</w:t>
                  </w:r>
                </w:p>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『定金』：</w:t>
                  </w:r>
                  <w:r w:rsidRPr="00DE1341">
                    <w:rPr>
                      <w:rFonts w:ascii="Arial" w:eastAsia="新細明體" w:hAnsi="Arial" w:cs="Arial"/>
                      <w:kern w:val="0"/>
                      <w:sz w:val="27"/>
                      <w:szCs w:val="27"/>
                    </w:rPr>
                    <w:br/>
                  </w:r>
                  <w:r w:rsidRPr="00DE1341">
                    <w:rPr>
                      <w:rFonts w:ascii="Arial" w:eastAsia="新細明體" w:hAnsi="Arial" w:cs="Arial"/>
                      <w:kern w:val="0"/>
                      <w:sz w:val="27"/>
                      <w:szCs w:val="27"/>
                    </w:rPr>
                    <w:t>定金支付並無法定的上下限，通常房東會自訂金額請房客支付。有的房東會要求定金多至數萬元少至僅收</w:t>
                  </w:r>
                  <w:r w:rsidRPr="00DE1341">
                    <w:rPr>
                      <w:rFonts w:ascii="Arial" w:eastAsia="新細明體" w:hAnsi="Arial" w:cs="Arial"/>
                      <w:kern w:val="0"/>
                      <w:sz w:val="27"/>
                      <w:szCs w:val="27"/>
                    </w:rPr>
                    <w:t>5</w:t>
                  </w:r>
                  <w:r w:rsidRPr="00DE1341">
                    <w:rPr>
                      <w:rFonts w:ascii="Arial" w:eastAsia="新細明體" w:hAnsi="Arial" w:cs="Arial"/>
                      <w:kern w:val="0"/>
                      <w:sz w:val="27"/>
                      <w:szCs w:val="27"/>
                    </w:rPr>
                    <w:t>佰、</w:t>
                  </w:r>
                  <w:r w:rsidRPr="00DE1341">
                    <w:rPr>
                      <w:rFonts w:ascii="Arial" w:eastAsia="新細明體" w:hAnsi="Arial" w:cs="Arial"/>
                      <w:kern w:val="0"/>
                      <w:sz w:val="27"/>
                      <w:szCs w:val="27"/>
                    </w:rPr>
                    <w:t>1</w:t>
                  </w:r>
                  <w:r w:rsidRPr="00DE1341">
                    <w:rPr>
                      <w:rFonts w:ascii="Arial" w:eastAsia="新細明體" w:hAnsi="Arial" w:cs="Arial"/>
                      <w:kern w:val="0"/>
                      <w:sz w:val="27"/>
                      <w:szCs w:val="27"/>
                    </w:rPr>
                    <w:t>仟元。其實對承租的行為而言，不論定金的多少都是代表一種承諾，應依雙方租賃意願多強而決定數額，否則如有一方反悔，依民法第</w:t>
                  </w:r>
                  <w:r w:rsidRPr="00DE1341">
                    <w:rPr>
                      <w:rFonts w:ascii="Arial" w:eastAsia="新細明體" w:hAnsi="Arial" w:cs="Arial"/>
                      <w:kern w:val="0"/>
                      <w:sz w:val="27"/>
                      <w:szCs w:val="27"/>
                    </w:rPr>
                    <w:t>249</w:t>
                  </w:r>
                  <w:r w:rsidRPr="00DE1341">
                    <w:rPr>
                      <w:rFonts w:ascii="Arial" w:eastAsia="新細明體" w:hAnsi="Arial" w:cs="Arial"/>
                      <w:kern w:val="0"/>
                      <w:sz w:val="27"/>
                      <w:szCs w:val="27"/>
                    </w:rPr>
                    <w:t>條視錯在那一方，他方得請求沒收或加倍返還。</w:t>
                  </w:r>
                </w:p>
              </w:tc>
            </w:tr>
            <w:tr w:rsidR="00DE1341" w:rsidRPr="00DE1341">
              <w:trPr>
                <w:trHeight w:val="1320"/>
                <w:tblCellSpacing w:w="0" w:type="dxa"/>
              </w:trPr>
              <w:tc>
                <w:tcPr>
                  <w:tcW w:w="0" w:type="auto"/>
                  <w:shd w:val="clear" w:color="auto" w:fill="FFFFCC"/>
                  <w:vAlign w:val="center"/>
                  <w:hideMark/>
                </w:tcPr>
                <w:p w:rsidR="001417B5" w:rsidRPr="00DE1341" w:rsidRDefault="001417B5" w:rsidP="001417B5">
                  <w:pPr>
                    <w:widowControl/>
                    <w:rPr>
                      <w:rFonts w:ascii="Arial" w:eastAsia="新細明體" w:hAnsi="Arial" w:cs="Arial"/>
                      <w:kern w:val="0"/>
                      <w:sz w:val="27"/>
                      <w:szCs w:val="27"/>
                    </w:rPr>
                  </w:pPr>
                  <w:r w:rsidRPr="00DE1341">
                    <w:rPr>
                      <w:rFonts w:ascii="Arial" w:eastAsia="新細明體" w:hAnsi="Arial" w:cs="Arial"/>
                      <w:b/>
                      <w:bCs/>
                      <w:kern w:val="0"/>
                      <w:sz w:val="27"/>
                      <w:szCs w:val="27"/>
                    </w:rPr>
                    <w:t>付定金時該注意什麼？</w:t>
                  </w:r>
                </w:p>
              </w:tc>
              <w:tc>
                <w:tcPr>
                  <w:tcW w:w="0" w:type="auto"/>
                  <w:shd w:val="clear" w:color="auto" w:fill="FFFFCC"/>
                  <w:vAlign w:val="center"/>
                  <w:hideMark/>
                </w:tcPr>
                <w:p w:rsidR="001417B5" w:rsidRPr="00DE1341" w:rsidRDefault="001417B5" w:rsidP="001417B5">
                  <w:pPr>
                    <w:widowControl/>
                    <w:rPr>
                      <w:rFonts w:ascii="Arial" w:eastAsia="新細明體" w:hAnsi="Arial" w:cs="Arial"/>
                      <w:kern w:val="0"/>
                      <w:sz w:val="17"/>
                      <w:szCs w:val="17"/>
                    </w:rPr>
                  </w:pPr>
                  <w:r w:rsidRPr="00DE1341">
                    <w:rPr>
                      <w:rFonts w:ascii="Arial" w:eastAsia="新細明體" w:hAnsi="Arial" w:cs="Arial"/>
                      <w:kern w:val="0"/>
                      <w:sz w:val="27"/>
                      <w:szCs w:val="27"/>
                    </w:rPr>
                    <w:t>房客所付的定金除了另有約定外，在履行契約時定金應可返還或可做為租</w:t>
                  </w:r>
                  <w:r w:rsidRPr="00DE1341">
                    <w:rPr>
                      <w:rFonts w:ascii="Arial" w:eastAsia="新細明體" w:hAnsi="Arial" w:cs="Arial"/>
                      <w:kern w:val="0"/>
                      <w:sz w:val="27"/>
                      <w:szCs w:val="27"/>
                    </w:rPr>
                    <w:br/>
                  </w:r>
                  <w:r w:rsidRPr="00DE1341">
                    <w:rPr>
                      <w:rFonts w:ascii="Arial" w:eastAsia="新細明體" w:hAnsi="Arial" w:cs="Arial"/>
                      <w:kern w:val="0"/>
                      <w:sz w:val="27"/>
                      <w:szCs w:val="27"/>
                    </w:rPr>
                    <w:t>金或押金的一部份，因此繳交定金時請千萬記得，請房東簽收收據，註明所支付的定金金額、收款及付款人雙方姓名、身分證字號、定金保留期限、違反約定之賠償方式等，以避免任何一方發生付訂拒租卻又求償無門的情形。</w:t>
                  </w:r>
                </w:p>
              </w:tc>
            </w:tr>
            <w:tr w:rsidR="00DE1341" w:rsidRPr="00DE1341">
              <w:trPr>
                <w:tblCellSpacing w:w="0" w:type="dxa"/>
              </w:trPr>
              <w:tc>
                <w:tcPr>
                  <w:tcW w:w="0" w:type="auto"/>
                  <w:shd w:val="clear" w:color="auto" w:fill="CCFF99"/>
                  <w:noWrap/>
                  <w:hideMark/>
                </w:tcPr>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w:t>
                  </w:r>
                </w:p>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w:t>
                  </w:r>
                </w:p>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b/>
                      <w:bCs/>
                      <w:kern w:val="0"/>
                      <w:sz w:val="27"/>
                      <w:szCs w:val="27"/>
                    </w:rPr>
                    <w:t>定金支付了之後，若有一方反悔不租，</w:t>
                  </w:r>
                </w:p>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b/>
                      <w:bCs/>
                      <w:kern w:val="0"/>
                      <w:sz w:val="27"/>
                      <w:szCs w:val="27"/>
                    </w:rPr>
                    <w:t>定金可以拿回來或要求賠償嗎？</w:t>
                  </w:r>
                </w:p>
              </w:tc>
              <w:tc>
                <w:tcPr>
                  <w:tcW w:w="0" w:type="auto"/>
                  <w:shd w:val="clear" w:color="auto" w:fill="CCFF99"/>
                  <w:vAlign w:val="center"/>
                  <w:hideMark/>
                </w:tcPr>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依據民法第</w:t>
                  </w:r>
                  <w:r w:rsidRPr="00DE1341">
                    <w:rPr>
                      <w:rFonts w:ascii="Arial" w:eastAsia="新細明體" w:hAnsi="Arial" w:cs="Arial"/>
                      <w:kern w:val="0"/>
                      <w:sz w:val="27"/>
                      <w:szCs w:val="27"/>
                    </w:rPr>
                    <w:t>249</w:t>
                  </w:r>
                  <w:r w:rsidRPr="00DE1341">
                    <w:rPr>
                      <w:rFonts w:ascii="Arial" w:eastAsia="新細明體" w:hAnsi="Arial" w:cs="Arial"/>
                      <w:kern w:val="0"/>
                      <w:sz w:val="27"/>
                      <w:szCs w:val="27"/>
                    </w:rPr>
                    <w:t>條規定：「契約因可歸責於付定金當事人的事由，以致不能</w:t>
                  </w:r>
                  <w:r w:rsidRPr="00DE1341">
                    <w:rPr>
                      <w:rFonts w:ascii="Arial" w:eastAsia="新細明體" w:hAnsi="Arial" w:cs="Arial"/>
                      <w:kern w:val="0"/>
                      <w:sz w:val="27"/>
                      <w:szCs w:val="27"/>
                    </w:rPr>
                    <w:br/>
                  </w:r>
                  <w:r w:rsidRPr="00DE1341">
                    <w:rPr>
                      <w:rFonts w:ascii="Arial" w:eastAsia="新細明體" w:hAnsi="Arial" w:cs="Arial"/>
                      <w:kern w:val="0"/>
                      <w:sz w:val="27"/>
                      <w:szCs w:val="27"/>
                    </w:rPr>
                    <w:t>履行時，定金不得請求返還；</w:t>
                  </w:r>
                  <w:r w:rsidRPr="00DE1341">
                    <w:rPr>
                      <w:rFonts w:ascii="Arial" w:eastAsia="新細明體" w:hAnsi="Arial" w:cs="Arial"/>
                      <w:kern w:val="0"/>
                      <w:sz w:val="27"/>
                      <w:szCs w:val="27"/>
                    </w:rPr>
                    <w:t>…</w:t>
                  </w:r>
                  <w:r w:rsidRPr="00DE1341">
                    <w:rPr>
                      <w:rFonts w:ascii="Arial" w:eastAsia="新細明體" w:hAnsi="Arial" w:cs="Arial"/>
                      <w:kern w:val="0"/>
                      <w:sz w:val="27"/>
                      <w:szCs w:val="27"/>
                    </w:rPr>
                    <w:t>」也就是說，當房客</w:t>
                  </w:r>
                  <w:r w:rsidRPr="00DE1341">
                    <w:rPr>
                      <w:rFonts w:ascii="Arial" w:eastAsia="新細明體" w:hAnsi="Arial" w:cs="Arial"/>
                      <w:kern w:val="0"/>
                      <w:sz w:val="27"/>
                      <w:szCs w:val="27"/>
                    </w:rPr>
                    <w:t>(</w:t>
                  </w:r>
                  <w:r w:rsidRPr="00DE1341">
                    <w:rPr>
                      <w:rFonts w:ascii="Arial" w:eastAsia="新細明體" w:hAnsi="Arial" w:cs="Arial"/>
                      <w:kern w:val="0"/>
                      <w:sz w:val="27"/>
                      <w:szCs w:val="27"/>
                    </w:rPr>
                    <w:t>付定金當事人</w:t>
                  </w:r>
                  <w:r w:rsidRPr="00DE1341">
                    <w:rPr>
                      <w:rFonts w:ascii="Arial" w:eastAsia="新細明體" w:hAnsi="Arial" w:cs="Arial"/>
                      <w:kern w:val="0"/>
                      <w:sz w:val="27"/>
                      <w:szCs w:val="27"/>
                    </w:rPr>
                    <w:t>)</w:t>
                  </w:r>
                  <w:r w:rsidRPr="00DE1341">
                    <w:rPr>
                      <w:rFonts w:ascii="Arial" w:eastAsia="新細明體" w:hAnsi="Arial" w:cs="Arial"/>
                      <w:kern w:val="0"/>
                      <w:sz w:val="27"/>
                      <w:szCs w:val="27"/>
                    </w:rPr>
                    <w:t>無法履行承諾來承租房子時，是不可請求房東償還定金的。</w:t>
                  </w:r>
                </w:p>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「契約因可歸責於受定金當事人的事由，以致不能履行時，該當事人應加倍返還其所受的定金；</w:t>
                  </w:r>
                  <w:r w:rsidRPr="00DE1341">
                    <w:rPr>
                      <w:rFonts w:ascii="Arial" w:eastAsia="新細明體" w:hAnsi="Arial" w:cs="Arial"/>
                      <w:kern w:val="0"/>
                      <w:sz w:val="27"/>
                      <w:szCs w:val="27"/>
                    </w:rPr>
                    <w:t>….</w:t>
                  </w:r>
                  <w:r w:rsidRPr="00DE1341">
                    <w:rPr>
                      <w:rFonts w:ascii="Arial" w:eastAsia="新細明體" w:hAnsi="Arial" w:cs="Arial"/>
                      <w:kern w:val="0"/>
                      <w:sz w:val="27"/>
                      <w:szCs w:val="27"/>
                    </w:rPr>
                    <w:t>」也就是說，當房東</w:t>
                  </w:r>
                  <w:r w:rsidRPr="00DE1341">
                    <w:rPr>
                      <w:rFonts w:ascii="Arial" w:eastAsia="新細明體" w:hAnsi="Arial" w:cs="Arial"/>
                      <w:kern w:val="0"/>
                      <w:sz w:val="27"/>
                      <w:szCs w:val="27"/>
                    </w:rPr>
                    <w:t>(</w:t>
                  </w:r>
                  <w:r w:rsidRPr="00DE1341">
                    <w:rPr>
                      <w:rFonts w:ascii="Arial" w:eastAsia="新細明體" w:hAnsi="Arial" w:cs="Arial"/>
                      <w:kern w:val="0"/>
                      <w:sz w:val="27"/>
                      <w:szCs w:val="27"/>
                    </w:rPr>
                    <w:t>受定金當事人</w:t>
                  </w:r>
                  <w:r w:rsidRPr="00DE1341">
                    <w:rPr>
                      <w:rFonts w:ascii="Arial" w:eastAsia="新細明體" w:hAnsi="Arial" w:cs="Arial"/>
                      <w:kern w:val="0"/>
                      <w:sz w:val="27"/>
                      <w:szCs w:val="27"/>
                    </w:rPr>
                    <w:t>)</w:t>
                  </w:r>
                  <w:r w:rsidRPr="00DE1341">
                    <w:rPr>
                      <w:rFonts w:ascii="Arial" w:eastAsia="新細明體" w:hAnsi="Arial" w:cs="Arial"/>
                      <w:kern w:val="0"/>
                      <w:sz w:val="27"/>
                      <w:szCs w:val="27"/>
                    </w:rPr>
                    <w:t>無法履行承諾將房子出租給房客時，房客是可要求房東加倍賠償的。</w:t>
                  </w:r>
                </w:p>
                <w:p w:rsidR="001417B5" w:rsidRPr="00DE1341" w:rsidRDefault="001417B5" w:rsidP="001417B5">
                  <w:pPr>
                    <w:widowControl/>
                    <w:spacing w:before="100" w:beforeAutospacing="1" w:after="100" w:afterAutospacing="1"/>
                    <w:rPr>
                      <w:rFonts w:ascii="Arial" w:eastAsia="新細明體" w:hAnsi="Arial" w:cs="Arial"/>
                      <w:kern w:val="0"/>
                      <w:sz w:val="27"/>
                      <w:szCs w:val="27"/>
                    </w:rPr>
                  </w:pPr>
                  <w:r w:rsidRPr="00DE1341">
                    <w:rPr>
                      <w:rFonts w:ascii="Arial" w:eastAsia="新細明體" w:hAnsi="Arial" w:cs="Arial"/>
                      <w:kern w:val="0"/>
                      <w:sz w:val="27"/>
                      <w:szCs w:val="27"/>
                    </w:rPr>
                    <w:t>「契約因不可歸責於雙方當事人的事由，致不能履行時，定金應返還之。」</w:t>
                  </w:r>
                  <w:r w:rsidRPr="00DE1341">
                    <w:rPr>
                      <w:rFonts w:ascii="Arial" w:eastAsia="新細明體" w:hAnsi="Arial" w:cs="Arial"/>
                      <w:kern w:val="0"/>
                      <w:sz w:val="27"/>
                      <w:szCs w:val="27"/>
                    </w:rPr>
                    <w:br/>
                  </w:r>
                  <w:r w:rsidRPr="00DE1341">
                    <w:rPr>
                      <w:rFonts w:ascii="Arial" w:eastAsia="新細明體" w:hAnsi="Arial" w:cs="Arial"/>
                      <w:kern w:val="0"/>
                      <w:sz w:val="27"/>
                      <w:szCs w:val="27"/>
                    </w:rPr>
                    <w:t>也就是當碰到像是</w:t>
                  </w:r>
                  <w:r w:rsidRPr="00DE1341">
                    <w:rPr>
                      <w:rFonts w:ascii="Arial" w:eastAsia="新細明體" w:hAnsi="Arial" w:cs="Arial"/>
                      <w:kern w:val="0"/>
                      <w:sz w:val="27"/>
                      <w:szCs w:val="27"/>
                    </w:rPr>
                    <w:t>921</w:t>
                  </w:r>
                  <w:r w:rsidRPr="00DE1341">
                    <w:rPr>
                      <w:rFonts w:ascii="Arial" w:eastAsia="新細明體" w:hAnsi="Arial" w:cs="Arial"/>
                      <w:kern w:val="0"/>
                      <w:sz w:val="27"/>
                      <w:szCs w:val="27"/>
                    </w:rPr>
                    <w:t>大地震、颱風淹水等等，造成房子的損傷，或是在看屋時未談到的細節，在付定後簽約時雙方在細節部份無法溝通而致使任何一方不願承租時，另一方是不得扣下定金或是要求加倍賠償的。</w:t>
                  </w:r>
                </w:p>
              </w:tc>
            </w:tr>
          </w:tbl>
          <w:p w:rsidR="001417B5" w:rsidRPr="001417B5" w:rsidRDefault="001417B5" w:rsidP="001417B5">
            <w:pPr>
              <w:widowControl/>
              <w:rPr>
                <w:rFonts w:ascii="Arial" w:eastAsia="新細明體" w:hAnsi="Arial" w:cs="Arial"/>
                <w:color w:val="666666"/>
                <w:kern w:val="0"/>
                <w:sz w:val="17"/>
                <w:szCs w:val="17"/>
              </w:rPr>
            </w:pPr>
          </w:p>
        </w:tc>
        <w:bookmarkStart w:id="0" w:name="_GoBack"/>
        <w:bookmarkEnd w:id="0"/>
      </w:tr>
    </w:tbl>
    <w:p w:rsidR="001417B5" w:rsidRPr="001417B5" w:rsidRDefault="001417B5" w:rsidP="001417B5">
      <w:pPr>
        <w:widowControl/>
        <w:spacing w:before="100" w:beforeAutospacing="1" w:after="100" w:afterAutospacing="1"/>
        <w:jc w:val="right"/>
        <w:rPr>
          <w:rFonts w:ascii="新細明體" w:eastAsia="新細明體" w:hAnsi="新細明體" w:cs="新細明體"/>
          <w:kern w:val="0"/>
          <w:sz w:val="21"/>
          <w:szCs w:val="21"/>
        </w:rPr>
      </w:pPr>
      <w:r w:rsidRPr="001417B5">
        <w:rPr>
          <w:rFonts w:ascii="新細明體" w:eastAsia="新細明體" w:hAnsi="新細明體" w:cs="新細明體"/>
          <w:kern w:val="0"/>
          <w:sz w:val="21"/>
          <w:szCs w:val="21"/>
        </w:rPr>
        <w:t>資料來源：崔媽媽基金會</w:t>
      </w:r>
    </w:p>
    <w:p w:rsidR="00CC3224" w:rsidRDefault="00CC3224"/>
    <w:sectPr w:rsidR="00CC3224" w:rsidSect="00D77977">
      <w:pgSz w:w="16838" w:h="23811" w:code="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46"/>
    <w:rsid w:val="001417B5"/>
    <w:rsid w:val="00412346"/>
    <w:rsid w:val="00CC3224"/>
    <w:rsid w:val="00D77977"/>
    <w:rsid w:val="00DE1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7149D-CEFC-4ABF-84E3-768E851C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17B5"/>
    <w:rPr>
      <w:b/>
      <w:bCs/>
    </w:rPr>
  </w:style>
  <w:style w:type="paragraph" w:customStyle="1" w:styleId="style3">
    <w:name w:val="style3"/>
    <w:basedOn w:val="a"/>
    <w:rsid w:val="001417B5"/>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1417B5"/>
    <w:pPr>
      <w:widowControl/>
      <w:spacing w:before="100" w:beforeAutospacing="1" w:after="100" w:afterAutospacing="1"/>
    </w:pPr>
    <w:rPr>
      <w:rFonts w:ascii="新細明體" w:eastAsia="新細明體" w:hAnsi="新細明體" w:cs="新細明體"/>
      <w:kern w:val="0"/>
      <w:szCs w:val="24"/>
    </w:rPr>
  </w:style>
  <w:style w:type="character" w:customStyle="1" w:styleId="style31">
    <w:name w:val="style31"/>
    <w:basedOn w:val="a0"/>
    <w:rsid w:val="001417B5"/>
  </w:style>
  <w:style w:type="paragraph" w:customStyle="1" w:styleId="style2">
    <w:name w:val="style2"/>
    <w:basedOn w:val="a"/>
    <w:rsid w:val="001417B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Sin_PC01</cp:lastModifiedBy>
  <cp:revision>5</cp:revision>
  <dcterms:created xsi:type="dcterms:W3CDTF">2017-11-27T02:57:00Z</dcterms:created>
  <dcterms:modified xsi:type="dcterms:W3CDTF">2017-12-03T09:20:00Z</dcterms:modified>
</cp:coreProperties>
</file>