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5" w:type="dxa"/>
        <w:tblCellSpacing w:w="0" w:type="dxa"/>
        <w:shd w:val="clear" w:color="auto" w:fill="F4FFE4"/>
        <w:tblCellMar>
          <w:top w:w="24" w:type="dxa"/>
          <w:left w:w="24" w:type="dxa"/>
          <w:bottom w:w="24" w:type="dxa"/>
          <w:right w:w="24" w:type="dxa"/>
        </w:tblCellMar>
        <w:tblLook w:val="04A0" w:firstRow="1" w:lastRow="0" w:firstColumn="1" w:lastColumn="0" w:noHBand="0" w:noVBand="1"/>
      </w:tblPr>
      <w:tblGrid>
        <w:gridCol w:w="13785"/>
      </w:tblGrid>
      <w:tr w:rsidR="00846F1E" w:rsidRPr="00846F1E" w:rsidTr="00846F1E">
        <w:trPr>
          <w:tblCellSpacing w:w="0" w:type="dxa"/>
        </w:trPr>
        <w:tc>
          <w:tcPr>
            <w:tcW w:w="13725" w:type="dxa"/>
            <w:shd w:val="clear" w:color="auto" w:fill="F4FFE4"/>
            <w:vAlign w:val="center"/>
            <w:hideMark/>
          </w:tcPr>
          <w:p w:rsidR="00846F1E" w:rsidRPr="00846F1E" w:rsidRDefault="00846F1E" w:rsidP="00846F1E">
            <w:pPr>
              <w:widowControl/>
              <w:spacing w:line="390" w:lineRule="atLeast"/>
              <w:rPr>
                <w:rFonts w:ascii="Arial" w:eastAsia="新細明體" w:hAnsi="Arial" w:cs="Arial"/>
                <w:color w:val="99CC66"/>
                <w:spacing w:val="50"/>
                <w:kern w:val="0"/>
                <w:sz w:val="27"/>
                <w:szCs w:val="27"/>
              </w:rPr>
            </w:pPr>
            <w:r w:rsidRPr="00846F1E">
              <w:rPr>
                <w:rFonts w:ascii="Arial" w:eastAsia="新細明體" w:hAnsi="Arial" w:cs="Arial"/>
                <w:color w:val="99CC66"/>
                <w:spacing w:val="50"/>
                <w:kern w:val="0"/>
                <w:sz w:val="27"/>
                <w:szCs w:val="27"/>
              </w:rPr>
              <w:t>契約簽訂注意事項</w:t>
            </w:r>
          </w:p>
        </w:tc>
      </w:tr>
      <w:tr w:rsidR="00846F1E" w:rsidRPr="00846F1E" w:rsidTr="00846F1E">
        <w:trPr>
          <w:tblCellSpacing w:w="0" w:type="dxa"/>
        </w:trPr>
        <w:tc>
          <w:tcPr>
            <w:tcW w:w="0" w:type="auto"/>
            <w:shd w:val="clear" w:color="auto" w:fill="F4FFE4"/>
            <w:vAlign w:val="center"/>
            <w:hideMark/>
          </w:tcPr>
          <w:tbl>
            <w:tblPr>
              <w:tblW w:w="0" w:type="auto"/>
              <w:tblCellSpacing w:w="0" w:type="dxa"/>
              <w:tblCellMar>
                <w:left w:w="0" w:type="dxa"/>
                <w:right w:w="0" w:type="dxa"/>
              </w:tblCellMar>
              <w:tblLook w:val="04A0" w:firstRow="1" w:lastRow="0" w:firstColumn="1" w:lastColumn="0" w:noHBand="0" w:noVBand="1"/>
            </w:tblPr>
            <w:tblGrid>
              <w:gridCol w:w="12885"/>
            </w:tblGrid>
            <w:tr w:rsidR="00C25400" w:rsidRPr="00C25400">
              <w:trPr>
                <w:tblCellSpacing w:w="0" w:type="dxa"/>
              </w:trPr>
              <w:tc>
                <w:tcPr>
                  <w:tcW w:w="1288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12885"/>
                  </w:tblGrid>
                  <w:tr w:rsidR="00C25400" w:rsidRPr="00C25400">
                    <w:trPr>
                      <w:tblCellSpacing w:w="0" w:type="dxa"/>
                    </w:trPr>
                    <w:tc>
                      <w:tcPr>
                        <w:tcW w:w="11865" w:type="dxa"/>
                        <w:vAlign w:val="center"/>
                        <w:hideMark/>
                      </w:tcPr>
                      <w:p w:rsidR="00846F1E" w:rsidRPr="00C25400" w:rsidRDefault="00846F1E" w:rsidP="00846F1E">
                        <w:pPr>
                          <w:widowControl/>
                          <w:rPr>
                            <w:rFonts w:ascii="Arial" w:eastAsia="新細明體" w:hAnsi="Arial" w:cs="Arial"/>
                            <w:kern w:val="0"/>
                            <w:sz w:val="17"/>
                            <w:szCs w:val="17"/>
                          </w:rPr>
                        </w:pPr>
                        <w:r w:rsidRPr="00C25400">
                          <w:rPr>
                            <w:rFonts w:ascii="Arial" w:eastAsia="新細明體" w:hAnsi="Arial" w:cs="Arial"/>
                            <w:kern w:val="0"/>
                            <w:sz w:val="17"/>
                            <w:szCs w:val="17"/>
                          </w:rPr>
                          <w:t> </w:t>
                        </w:r>
                      </w:p>
                    </w:tc>
                  </w:tr>
                  <w:tr w:rsidR="00C25400" w:rsidRPr="00C25400">
                    <w:trPr>
                      <w:trHeight w:val="4248"/>
                      <w:tblCellSpacing w:w="0" w:type="dxa"/>
                    </w:trPr>
                    <w:tc>
                      <w:tcPr>
                        <w:tcW w:w="0" w:type="auto"/>
                        <w:vAlign w:val="center"/>
                        <w:hideMark/>
                      </w:tcPr>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時間篇</w:t>
                        </w:r>
                        <w:bookmarkStart w:id="0" w:name="_GoBack"/>
                        <w:bookmarkEnd w:id="0"/>
                      </w:p>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1.</w:t>
                        </w:r>
                        <w:r w:rsidRPr="00C25400">
                          <w:rPr>
                            <w:rFonts w:ascii="Arial" w:eastAsia="新細明體" w:hAnsi="Arial" w:cs="Arial"/>
                            <w:kern w:val="0"/>
                            <w:szCs w:val="24"/>
                          </w:rPr>
                          <w:t>租約如未到期，而房屋被轉賣或被法院拍賣時，依民法</w:t>
                        </w:r>
                        <w:r w:rsidRPr="00C25400">
                          <w:rPr>
                            <w:rFonts w:ascii="Arial" w:eastAsia="新細明體" w:hAnsi="Arial" w:cs="Arial"/>
                            <w:kern w:val="0"/>
                            <w:szCs w:val="24"/>
                          </w:rPr>
                          <w:t xml:space="preserve">425 </w:t>
                        </w:r>
                        <w:r w:rsidRPr="00C25400">
                          <w:rPr>
                            <w:rFonts w:ascii="Arial" w:eastAsia="新細明體" w:hAnsi="Arial" w:cs="Arial"/>
                            <w:kern w:val="0"/>
                            <w:szCs w:val="24"/>
                          </w:rPr>
                          <w:t>條之規定：</w:t>
                        </w:r>
                        <w:r w:rsidRPr="00C25400">
                          <w:rPr>
                            <w:rFonts w:ascii="Arial" w:eastAsia="新細明體" w:hAnsi="Arial" w:cs="Arial"/>
                            <w:kern w:val="0"/>
                            <w:szCs w:val="24"/>
                          </w:rPr>
                          <w:t>(1)</w:t>
                        </w:r>
                        <w:r w:rsidRPr="00C25400">
                          <w:rPr>
                            <w:rFonts w:ascii="Arial" w:eastAsia="新細明體" w:hAnsi="Arial" w:cs="Arial"/>
                            <w:kern w:val="0"/>
                            <w:szCs w:val="24"/>
                          </w:rPr>
                          <w:t>如租約未經法院公證，且為不定期限租賃或超過五年之長期定期租賃</w:t>
                        </w:r>
                        <w:r w:rsidRPr="00C25400">
                          <w:rPr>
                            <w:rFonts w:ascii="Arial" w:eastAsia="新細明體" w:hAnsi="Arial" w:cs="Arial"/>
                            <w:kern w:val="0"/>
                            <w:szCs w:val="24"/>
                          </w:rPr>
                          <w:br/>
                        </w:r>
                        <w:r w:rsidRPr="00C25400">
                          <w:rPr>
                            <w:rFonts w:ascii="Arial" w:eastAsia="新細明體" w:hAnsi="Arial" w:cs="Arial"/>
                            <w:kern w:val="0"/>
                            <w:szCs w:val="24"/>
                          </w:rPr>
                          <w:t>契約，租約對新屋主並不繼續存在，新房東有權解除租約。</w:t>
                        </w:r>
                        <w:r w:rsidRPr="00C25400">
                          <w:rPr>
                            <w:rFonts w:ascii="Arial" w:eastAsia="新細明體" w:hAnsi="Arial" w:cs="Arial"/>
                            <w:kern w:val="0"/>
                            <w:szCs w:val="24"/>
                          </w:rPr>
                          <w:t>(2)</w:t>
                        </w:r>
                        <w:r w:rsidRPr="00C25400">
                          <w:rPr>
                            <w:rFonts w:ascii="Arial" w:eastAsia="新細明體" w:hAnsi="Arial" w:cs="Arial"/>
                            <w:kern w:val="0"/>
                            <w:szCs w:val="24"/>
                          </w:rPr>
                          <w:t>如租約為未經法院公證之五年以內定期租約，並不影響房客權益，房客仍可繼續向新屋主承租至租約屆滿。</w:t>
                        </w:r>
                        <w:r w:rsidRPr="00C25400">
                          <w:rPr>
                            <w:rFonts w:ascii="Arial" w:eastAsia="新細明體" w:hAnsi="Arial" w:cs="Arial"/>
                            <w:kern w:val="0"/>
                            <w:szCs w:val="24"/>
                          </w:rPr>
                          <w:br/>
                          <w:t>2.</w:t>
                        </w:r>
                        <w:r w:rsidRPr="00C25400">
                          <w:rPr>
                            <w:rFonts w:ascii="Arial" w:eastAsia="新細明體" w:hAnsi="Arial" w:cs="Arial"/>
                            <w:kern w:val="0"/>
                            <w:szCs w:val="24"/>
                          </w:rPr>
                          <w:t>如覺得房屋狀況令人滿意時，可向房東爭取租屋期滿後的優先承租權，事先在契約中加訂「租約期滿，原房客有優先承租權」之條文，並可事先協調漲價幅度及時間。</w:t>
                        </w:r>
                      </w:p>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金錢篇</w:t>
                        </w:r>
                      </w:p>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1.</w:t>
                        </w:r>
                        <w:r w:rsidRPr="00C25400">
                          <w:rPr>
                            <w:rFonts w:ascii="Arial" w:eastAsia="新細明體" w:hAnsi="Arial" w:cs="Arial"/>
                            <w:kern w:val="0"/>
                            <w:szCs w:val="24"/>
                          </w:rPr>
                          <w:t>依土地法第</w:t>
                        </w:r>
                        <w:r w:rsidRPr="00C25400">
                          <w:rPr>
                            <w:rFonts w:ascii="Arial" w:eastAsia="新細明體" w:hAnsi="Arial" w:cs="Arial"/>
                            <w:kern w:val="0"/>
                            <w:szCs w:val="24"/>
                          </w:rPr>
                          <w:t xml:space="preserve">97 </w:t>
                        </w:r>
                        <w:r w:rsidRPr="00C25400">
                          <w:rPr>
                            <w:rFonts w:ascii="Arial" w:eastAsia="新細明體" w:hAnsi="Arial" w:cs="Arial"/>
                            <w:kern w:val="0"/>
                            <w:szCs w:val="24"/>
                          </w:rPr>
                          <w:t>條第</w:t>
                        </w:r>
                        <w:r w:rsidRPr="00C25400">
                          <w:rPr>
                            <w:rFonts w:ascii="Arial" w:eastAsia="新細明體" w:hAnsi="Arial" w:cs="Arial"/>
                            <w:kern w:val="0"/>
                            <w:szCs w:val="24"/>
                          </w:rPr>
                          <w:t xml:space="preserve">1 </w:t>
                        </w:r>
                        <w:r w:rsidRPr="00C25400">
                          <w:rPr>
                            <w:rFonts w:ascii="Arial" w:eastAsia="新細明體" w:hAnsi="Arial" w:cs="Arial"/>
                            <w:kern w:val="0"/>
                            <w:szCs w:val="24"/>
                          </w:rPr>
                          <w:t>項之規定，房屋租金不能超過土地及其房屋申報總額年息的百分之十。即將房屋及土地申報總值除</w:t>
                        </w:r>
                        <w:r w:rsidRPr="00C25400">
                          <w:rPr>
                            <w:rFonts w:ascii="Arial" w:eastAsia="新細明體" w:hAnsi="Arial" w:cs="Arial"/>
                            <w:kern w:val="0"/>
                            <w:szCs w:val="24"/>
                          </w:rPr>
                          <w:t xml:space="preserve">10 </w:t>
                        </w:r>
                        <w:r w:rsidRPr="00C25400">
                          <w:rPr>
                            <w:rFonts w:ascii="Arial" w:eastAsia="新細明體" w:hAnsi="Arial" w:cs="Arial"/>
                            <w:kern w:val="0"/>
                            <w:szCs w:val="24"/>
                          </w:rPr>
                          <w:t>再除</w:t>
                        </w:r>
                        <w:r w:rsidRPr="00C25400">
                          <w:rPr>
                            <w:rFonts w:ascii="Arial" w:eastAsia="新細明體" w:hAnsi="Arial" w:cs="Arial"/>
                            <w:kern w:val="0"/>
                            <w:szCs w:val="24"/>
                          </w:rPr>
                          <w:t>12</w:t>
                        </w:r>
                        <w:r w:rsidRPr="00C25400">
                          <w:rPr>
                            <w:rFonts w:ascii="Arial" w:eastAsia="新細明體" w:hAnsi="Arial" w:cs="Arial"/>
                            <w:kern w:val="0"/>
                            <w:szCs w:val="24"/>
                          </w:rPr>
                          <w:t>，就等於每月租金的上限，超過部分房客可以不付，也可以請求當地縣市政府強制降低租金。但如果雙方同意約定的租金超過土地法最高限額時，</w:t>
                        </w:r>
                        <w:r w:rsidRPr="00C25400">
                          <w:rPr>
                            <w:rFonts w:ascii="Arial" w:eastAsia="新細明體" w:hAnsi="Arial" w:cs="Arial"/>
                            <w:kern w:val="0"/>
                            <w:szCs w:val="24"/>
                          </w:rPr>
                          <w:t xml:space="preserve"> </w:t>
                        </w:r>
                        <w:r w:rsidRPr="00C25400">
                          <w:rPr>
                            <w:rFonts w:ascii="Arial" w:eastAsia="新細明體" w:hAnsi="Arial" w:cs="Arial"/>
                            <w:kern w:val="0"/>
                            <w:szCs w:val="24"/>
                          </w:rPr>
                          <w:t>不算違法。（土地部分，任何人均可向地政機關取得公告地價資料；房屋部分亦可向稅捐機關取得房屋現值的資料）</w:t>
                        </w:r>
                      </w:p>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2.</w:t>
                        </w:r>
                        <w:r w:rsidRPr="00C25400">
                          <w:rPr>
                            <w:rFonts w:ascii="Arial" w:eastAsia="新細明體" w:hAnsi="Arial" w:cs="Arial"/>
                            <w:kern w:val="0"/>
                            <w:szCs w:val="24"/>
                          </w:rPr>
                          <w:t>另依土地法第</w:t>
                        </w:r>
                        <w:r w:rsidRPr="00C25400">
                          <w:rPr>
                            <w:rFonts w:ascii="Arial" w:eastAsia="新細明體" w:hAnsi="Arial" w:cs="Arial"/>
                            <w:kern w:val="0"/>
                            <w:szCs w:val="24"/>
                          </w:rPr>
                          <w:t xml:space="preserve">99 </w:t>
                        </w:r>
                        <w:r w:rsidRPr="00C25400">
                          <w:rPr>
                            <w:rFonts w:ascii="Arial" w:eastAsia="新細明體" w:hAnsi="Arial" w:cs="Arial"/>
                            <w:kern w:val="0"/>
                            <w:szCs w:val="24"/>
                          </w:rPr>
                          <w:t>條之規定，押租金不得超過二個月房屋租金之總額，超過部份，承租人得以超過之部分抵付房租。</w:t>
                        </w:r>
                        <w:r w:rsidRPr="00C25400">
                          <w:rPr>
                            <w:rFonts w:ascii="Arial" w:eastAsia="新細明體" w:hAnsi="Arial" w:cs="Arial"/>
                            <w:kern w:val="0"/>
                            <w:szCs w:val="24"/>
                          </w:rPr>
                          <w:br/>
                          <w:t>3.</w:t>
                        </w:r>
                        <w:r w:rsidRPr="00C25400">
                          <w:rPr>
                            <w:rFonts w:ascii="Arial" w:eastAsia="新細明體" w:hAnsi="Arial" w:cs="Arial"/>
                            <w:kern w:val="0"/>
                            <w:szCs w:val="24"/>
                          </w:rPr>
                          <w:t>有訂期限之租賃契約，房東不得單獨調漲租金，如果房東片面提出調漲租金時，房客可以予以拒絕。</w:t>
                        </w:r>
                        <w:r w:rsidRPr="00C25400">
                          <w:rPr>
                            <w:rFonts w:ascii="Arial" w:eastAsia="新細明體" w:hAnsi="Arial" w:cs="Arial"/>
                            <w:kern w:val="0"/>
                            <w:szCs w:val="24"/>
                          </w:rPr>
                          <w:br/>
                          <w:t>4.</w:t>
                        </w:r>
                        <w:r w:rsidRPr="00C25400">
                          <w:rPr>
                            <w:rFonts w:ascii="Arial" w:eastAsia="新細明體" w:hAnsi="Arial" w:cs="Arial"/>
                            <w:kern w:val="0"/>
                            <w:szCs w:val="24"/>
                          </w:rPr>
                          <w:t>如因天災事變，或房東怠於修繕租賃物等非因房客之事由致使租賃物一部分或全部不能使用時，房客可依租賃物不能使用之部分請求減免租金或終止租賃契約而請求損害賠償。</w:t>
                        </w:r>
                        <w:r w:rsidRPr="00C25400">
                          <w:rPr>
                            <w:rFonts w:ascii="Arial" w:eastAsia="新細明體" w:hAnsi="Arial" w:cs="Arial"/>
                            <w:kern w:val="0"/>
                            <w:szCs w:val="24"/>
                          </w:rPr>
                          <w:br/>
                          <w:t>5.</w:t>
                        </w:r>
                        <w:r w:rsidRPr="00C25400">
                          <w:rPr>
                            <w:rFonts w:ascii="Arial" w:eastAsia="新細明體" w:hAnsi="Arial" w:cs="Arial"/>
                            <w:kern w:val="0"/>
                            <w:szCs w:val="24"/>
                          </w:rPr>
                          <w:t>在交付押金、定金或租金時，房客都應要求房東開付收據或在房客持有的租賃契約書中簽收註明收訖事宜，當然房東在返還押金或定金於房客時，也應該要求房客簽寫收據或在房東持有的租賃契約書上記明收訖事宜。</w:t>
                        </w:r>
                      </w:p>
                      <w:p w:rsidR="00846F1E" w:rsidRPr="00C25400" w:rsidRDefault="00846F1E" w:rsidP="00846F1E">
                        <w:pPr>
                          <w:widowControl/>
                          <w:spacing w:before="100" w:beforeAutospacing="1" w:after="100" w:afterAutospacing="1"/>
                          <w:rPr>
                            <w:rFonts w:ascii="Arial" w:eastAsia="新細明體" w:hAnsi="Arial" w:cs="Arial"/>
                            <w:kern w:val="0"/>
                            <w:szCs w:val="24"/>
                          </w:rPr>
                        </w:pPr>
                        <w:r w:rsidRPr="00C25400">
                          <w:rPr>
                            <w:rFonts w:ascii="Arial" w:eastAsia="新細明體" w:hAnsi="Arial" w:cs="Arial"/>
                            <w:kern w:val="0"/>
                            <w:szCs w:val="24"/>
                          </w:rPr>
                          <w:t>6.</w:t>
                        </w:r>
                        <w:r w:rsidRPr="00C25400">
                          <w:rPr>
                            <w:rFonts w:ascii="Arial" w:eastAsia="新細明體" w:hAnsi="Arial" w:cs="Arial"/>
                            <w:kern w:val="0"/>
                            <w:szCs w:val="24"/>
                          </w:rPr>
                          <w:t>依據民法第</w:t>
                        </w:r>
                        <w:r w:rsidRPr="00C25400">
                          <w:rPr>
                            <w:rFonts w:ascii="Arial" w:eastAsia="新細明體" w:hAnsi="Arial" w:cs="Arial"/>
                            <w:kern w:val="0"/>
                            <w:szCs w:val="24"/>
                          </w:rPr>
                          <w:t xml:space="preserve">427 </w:t>
                        </w:r>
                        <w:r w:rsidRPr="00C25400">
                          <w:rPr>
                            <w:rFonts w:ascii="Arial" w:eastAsia="新細明體" w:hAnsi="Arial" w:cs="Arial"/>
                            <w:kern w:val="0"/>
                            <w:szCs w:val="24"/>
                          </w:rPr>
                          <w:t>條之規定「就租賃物應納之一切稅捐，</w:t>
                        </w:r>
                        <w:r w:rsidRPr="00C25400">
                          <w:rPr>
                            <w:rFonts w:ascii="Arial" w:eastAsia="新細明體" w:hAnsi="Arial" w:cs="Arial"/>
                            <w:kern w:val="0"/>
                            <w:szCs w:val="24"/>
                          </w:rPr>
                          <w:t xml:space="preserve"> </w:t>
                        </w:r>
                        <w:r w:rsidRPr="00C25400">
                          <w:rPr>
                            <w:rFonts w:ascii="Arial" w:eastAsia="新細明體" w:hAnsi="Arial" w:cs="Arial"/>
                            <w:kern w:val="0"/>
                            <w:szCs w:val="24"/>
                          </w:rPr>
                          <w:t>由出租人負擔」，故一般坊間的契約書中，常見有「租屋之房屋稅、地價稅</w:t>
                        </w:r>
                        <w:r w:rsidRPr="00C25400">
                          <w:rPr>
                            <w:rFonts w:ascii="Arial" w:eastAsia="新細明體" w:hAnsi="Arial" w:cs="Arial"/>
                            <w:kern w:val="0"/>
                            <w:szCs w:val="24"/>
                          </w:rPr>
                          <w:t>…</w:t>
                        </w:r>
                        <w:r w:rsidRPr="00C25400">
                          <w:rPr>
                            <w:rFonts w:ascii="Arial" w:eastAsia="新細明體" w:hAnsi="Arial" w:cs="Arial"/>
                            <w:kern w:val="0"/>
                            <w:szCs w:val="24"/>
                          </w:rPr>
                          <w:t>等，如果較出租前之稅額增加時，其增加部分，由房客負責負擔」之規定，此並不合理，應盡量爭取由房東負擔。</w:t>
                        </w:r>
                        <w:r w:rsidRPr="00C25400">
                          <w:rPr>
                            <w:rFonts w:ascii="Arial" w:eastAsia="新細明體" w:hAnsi="Arial" w:cs="Arial"/>
                            <w:kern w:val="0"/>
                            <w:szCs w:val="24"/>
                          </w:rPr>
                          <w:br/>
                          <w:t>2.</w:t>
                        </w:r>
                        <w:r w:rsidRPr="00C25400">
                          <w:rPr>
                            <w:rFonts w:ascii="Arial" w:eastAsia="新細明體" w:hAnsi="Arial" w:cs="Arial"/>
                            <w:kern w:val="0"/>
                            <w:szCs w:val="24"/>
                          </w:rPr>
                          <w:t>有關使用房屋而連帶產生的相關費用如水電費、大樓管理費等，應事先於契約中明訂數額或彼此分擔之方式，以免事後產生爭議，尤其是大樓管理費及停車位管理費。</w:t>
                        </w:r>
                        <w:r w:rsidRPr="00C25400">
                          <w:rPr>
                            <w:rFonts w:ascii="Arial" w:eastAsia="新細明體" w:hAnsi="Arial" w:cs="Arial"/>
                            <w:kern w:val="0"/>
                            <w:szCs w:val="24"/>
                          </w:rPr>
                          <w:br/>
                          <w:t>3.</w:t>
                        </w:r>
                        <w:r w:rsidRPr="00C25400">
                          <w:rPr>
                            <w:rFonts w:ascii="Arial" w:eastAsia="新細明體" w:hAnsi="Arial" w:cs="Arial"/>
                            <w:kern w:val="0"/>
                            <w:szCs w:val="24"/>
                          </w:rPr>
                          <w:t>與室友分租時，與室友相互間應事先明訂租金、水電費等相關費用分擔情形，</w:t>
                        </w:r>
                        <w:r w:rsidRPr="00C25400">
                          <w:rPr>
                            <w:rFonts w:ascii="Arial" w:eastAsia="新細明體" w:hAnsi="Arial" w:cs="Arial"/>
                            <w:kern w:val="0"/>
                            <w:szCs w:val="24"/>
                          </w:rPr>
                          <w:t xml:space="preserve"> </w:t>
                        </w:r>
                        <w:r w:rsidRPr="00C25400">
                          <w:rPr>
                            <w:rFonts w:ascii="Arial" w:eastAsia="新細明體" w:hAnsi="Arial" w:cs="Arial"/>
                            <w:kern w:val="0"/>
                            <w:szCs w:val="24"/>
                          </w:rPr>
                          <w:t>並雙方確立合理、良好之生活公約等規範事宜，以避免日後產生無謂的糾紛</w:t>
                        </w:r>
                      </w:p>
                      <w:p w:rsidR="00C25400" w:rsidRPr="00C25400" w:rsidRDefault="00C25400" w:rsidP="00C25400">
                        <w:pPr>
                          <w:widowControl/>
                          <w:spacing w:before="100" w:beforeAutospacing="1" w:after="100" w:afterAutospacing="1"/>
                          <w:jc w:val="right"/>
                          <w:rPr>
                            <w:rFonts w:ascii="Arial" w:eastAsia="新細明體" w:hAnsi="Arial" w:cs="Arial" w:hint="eastAsia"/>
                            <w:kern w:val="0"/>
                            <w:szCs w:val="24"/>
                          </w:rPr>
                        </w:pPr>
                        <w:r w:rsidRPr="00C25400">
                          <w:rPr>
                            <w:rFonts w:ascii="Arial" w:hAnsi="Arial" w:cs="Arial" w:hint="eastAsia"/>
                            <w:kern w:val="0"/>
                            <w:sz w:val="21"/>
                            <w:szCs w:val="21"/>
                          </w:rPr>
                          <w:t>資料來源：崔媽媽基金會</w:t>
                        </w:r>
                      </w:p>
                    </w:tc>
                  </w:tr>
                </w:tbl>
                <w:p w:rsidR="00846F1E" w:rsidRPr="00C25400" w:rsidRDefault="00846F1E" w:rsidP="00846F1E">
                  <w:pPr>
                    <w:widowControl/>
                    <w:rPr>
                      <w:rFonts w:ascii="Arial" w:eastAsia="新細明體" w:hAnsi="Arial" w:cs="Arial"/>
                      <w:kern w:val="0"/>
                      <w:sz w:val="17"/>
                      <w:szCs w:val="17"/>
                    </w:rPr>
                  </w:pPr>
                </w:p>
              </w:tc>
            </w:tr>
          </w:tbl>
          <w:p w:rsidR="00846F1E" w:rsidRPr="00C25400" w:rsidRDefault="00846F1E" w:rsidP="00846F1E">
            <w:pPr>
              <w:widowControl/>
              <w:spacing w:line="300" w:lineRule="atLeast"/>
              <w:rPr>
                <w:rFonts w:ascii="Arial" w:eastAsia="新細明體" w:hAnsi="Arial" w:cs="Arial"/>
                <w:kern w:val="0"/>
                <w:sz w:val="17"/>
                <w:szCs w:val="17"/>
              </w:rPr>
            </w:pPr>
          </w:p>
        </w:tc>
      </w:tr>
    </w:tbl>
    <w:p w:rsidR="00C27223" w:rsidRPr="00846F1E" w:rsidRDefault="00C27223"/>
    <w:sectPr w:rsidR="00C27223" w:rsidRPr="00846F1E" w:rsidSect="00846F1E">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4"/>
    <w:rsid w:val="00846F1E"/>
    <w:rsid w:val="00C25400"/>
    <w:rsid w:val="00C27223"/>
    <w:rsid w:val="00E12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4D55"/>
  <w15:chartTrackingRefBased/>
  <w15:docId w15:val="{10A9851F-1BE9-48DA-9CE4-38104E26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46F1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4</cp:revision>
  <dcterms:created xsi:type="dcterms:W3CDTF">2017-11-27T02:53:00Z</dcterms:created>
  <dcterms:modified xsi:type="dcterms:W3CDTF">2017-12-03T09:17:00Z</dcterms:modified>
</cp:coreProperties>
</file>